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41" w:rsidRDefault="00123DA5" w:rsidP="00325141">
      <w:pPr>
        <w:jc w:val="center"/>
        <w:rPr>
          <w:rFonts w:ascii="Arial" w:hAnsi="Arial" w:cs="Arial"/>
          <w:b/>
          <w:sz w:val="24"/>
          <w:szCs w:val="24"/>
        </w:rPr>
      </w:pPr>
      <w:r w:rsidRPr="00840AC6">
        <w:rPr>
          <w:rFonts w:ascii="Arial" w:hAnsi="Arial" w:cs="Arial"/>
          <w:b/>
          <w:sz w:val="24"/>
          <w:szCs w:val="24"/>
        </w:rPr>
        <w:t>Community-University Research Partnership Grants for New Brunswick</w:t>
      </w:r>
    </w:p>
    <w:p w:rsidR="00325141" w:rsidRPr="008A0B6D" w:rsidRDefault="00E602D3" w:rsidP="008A0B6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Grant p</w:t>
      </w:r>
      <w:r w:rsidR="00655885">
        <w:rPr>
          <w:rFonts w:ascii="Arial" w:hAnsi="Arial" w:cs="Arial"/>
          <w:szCs w:val="22"/>
        </w:rPr>
        <w:t>eriod: July 1, 2018 – June 30, 2019</w:t>
      </w:r>
    </w:p>
    <w:p w:rsidR="00325141" w:rsidRPr="00325141" w:rsidRDefault="00123DA5" w:rsidP="00325141">
      <w:pPr>
        <w:jc w:val="center"/>
        <w:rPr>
          <w:rFonts w:ascii="Arial" w:hAnsi="Arial" w:cs="Arial"/>
          <w:b/>
          <w:sz w:val="24"/>
          <w:szCs w:val="24"/>
        </w:rPr>
      </w:pPr>
      <w:r w:rsidRPr="00840AC6">
        <w:rPr>
          <w:rFonts w:ascii="Arial" w:hAnsi="Arial" w:cs="Arial"/>
          <w:b/>
          <w:sz w:val="24"/>
          <w:szCs w:val="24"/>
        </w:rPr>
        <w:t>Request for Proposals</w:t>
      </w:r>
    </w:p>
    <w:p w:rsidR="008A0B6D" w:rsidRDefault="008A0B6D" w:rsidP="005C2A0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DF0B01" w:rsidRPr="008A0B6D" w:rsidRDefault="00325141" w:rsidP="005C2A06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8A0B6D">
        <w:rPr>
          <w:rFonts w:ascii="Arial" w:hAnsi="Arial" w:cs="Arial"/>
          <w:b/>
          <w:color w:val="FF0000"/>
          <w:sz w:val="18"/>
          <w:szCs w:val="18"/>
        </w:rPr>
        <w:t>Deadline:</w:t>
      </w:r>
      <w:r w:rsidR="002759D8">
        <w:rPr>
          <w:rFonts w:ascii="Arial" w:hAnsi="Arial" w:cs="Arial"/>
          <w:color w:val="FF0000"/>
          <w:sz w:val="18"/>
          <w:szCs w:val="18"/>
        </w:rPr>
        <w:t xml:space="preserve"> March 9</w:t>
      </w:r>
      <w:r w:rsidR="00655885">
        <w:rPr>
          <w:rFonts w:ascii="Arial" w:hAnsi="Arial" w:cs="Arial"/>
          <w:color w:val="FF0000"/>
          <w:sz w:val="18"/>
          <w:szCs w:val="18"/>
        </w:rPr>
        <w:t>, 2018</w:t>
      </w:r>
    </w:p>
    <w:p w:rsidR="00311AFC" w:rsidRPr="008A0B6D" w:rsidRDefault="00311AFC" w:rsidP="005C2A06">
      <w:pPr>
        <w:jc w:val="center"/>
        <w:rPr>
          <w:rFonts w:ascii="Arial" w:hAnsi="Arial" w:cs="Arial"/>
          <w:sz w:val="18"/>
          <w:szCs w:val="18"/>
        </w:rPr>
      </w:pPr>
      <w:r w:rsidRPr="008A0B6D">
        <w:rPr>
          <w:rFonts w:ascii="Arial" w:hAnsi="Arial" w:cs="Arial"/>
          <w:b/>
          <w:sz w:val="18"/>
          <w:szCs w:val="18"/>
        </w:rPr>
        <w:t>Website:</w:t>
      </w:r>
      <w:r w:rsidRPr="008A0B6D">
        <w:rPr>
          <w:rFonts w:ascii="Arial" w:hAnsi="Arial" w:cs="Arial"/>
          <w:sz w:val="18"/>
          <w:szCs w:val="18"/>
        </w:rPr>
        <w:t xml:space="preserve"> community.rutgers.edu/grants</w:t>
      </w:r>
    </w:p>
    <w:p w:rsidR="00123DA5" w:rsidRPr="008A0B6D" w:rsidRDefault="00123DA5" w:rsidP="005C2A06">
      <w:pPr>
        <w:rPr>
          <w:rFonts w:ascii="Arial" w:hAnsi="Arial" w:cs="Arial"/>
          <w:sz w:val="18"/>
          <w:szCs w:val="18"/>
        </w:rPr>
      </w:pPr>
    </w:p>
    <w:p w:rsidR="00123DA5" w:rsidRDefault="00123DA5" w:rsidP="007942CF">
      <w:pPr>
        <w:ind w:right="540"/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Overview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123DA5" w:rsidRPr="00840AC6" w:rsidRDefault="00123DA5" w:rsidP="00325141">
      <w:pPr>
        <w:rPr>
          <w:rFonts w:ascii="Arial" w:hAnsi="Arial" w:cs="Arial"/>
          <w:szCs w:val="23"/>
        </w:rPr>
      </w:pPr>
      <w:r w:rsidRPr="00840AC6">
        <w:rPr>
          <w:rFonts w:ascii="Arial" w:hAnsi="Arial" w:cs="Arial"/>
          <w:szCs w:val="23"/>
        </w:rPr>
        <w:t xml:space="preserve">Significant benefits ensue when universities and communities collaborate on research resulting in both scholarly publication and community action. Recognizing </w:t>
      </w:r>
      <w:r w:rsidR="00325141">
        <w:rPr>
          <w:rFonts w:ascii="Arial" w:hAnsi="Arial" w:cs="Arial"/>
          <w:szCs w:val="23"/>
        </w:rPr>
        <w:t xml:space="preserve">Rutgers’ responsibility to be a </w:t>
      </w:r>
      <w:r w:rsidRPr="00840AC6">
        <w:rPr>
          <w:rFonts w:ascii="Arial" w:hAnsi="Arial" w:cs="Arial"/>
          <w:szCs w:val="23"/>
        </w:rPr>
        <w:t xml:space="preserve">strong partner in New Brunswick, </w:t>
      </w:r>
      <w:r w:rsidR="00EB791E" w:rsidRPr="00840AC6">
        <w:rPr>
          <w:rFonts w:ascii="Arial" w:hAnsi="Arial" w:cs="Arial"/>
          <w:szCs w:val="23"/>
        </w:rPr>
        <w:t xml:space="preserve">the Office of Community Affairs is administering a </w:t>
      </w:r>
      <w:r w:rsidRPr="00840AC6">
        <w:rPr>
          <w:rFonts w:ascii="Arial" w:hAnsi="Arial" w:cs="Arial"/>
          <w:szCs w:val="23"/>
        </w:rPr>
        <w:t xml:space="preserve">grant program </w:t>
      </w:r>
      <w:r w:rsidR="00EB791E" w:rsidRPr="00840AC6">
        <w:rPr>
          <w:rFonts w:ascii="Arial" w:hAnsi="Arial" w:cs="Arial"/>
          <w:szCs w:val="23"/>
        </w:rPr>
        <w:t>with awards</w:t>
      </w:r>
      <w:r w:rsidR="00186E3C" w:rsidRPr="00840AC6">
        <w:rPr>
          <w:rFonts w:ascii="Arial" w:hAnsi="Arial" w:cs="Arial"/>
          <w:szCs w:val="23"/>
        </w:rPr>
        <w:t xml:space="preserve"> up to </w:t>
      </w:r>
      <w:r w:rsidRPr="00840AC6">
        <w:rPr>
          <w:rFonts w:ascii="Arial" w:hAnsi="Arial" w:cs="Arial"/>
          <w:szCs w:val="23"/>
        </w:rPr>
        <w:t>$25,000</w:t>
      </w:r>
      <w:r w:rsidR="00EB791E" w:rsidRPr="00840AC6">
        <w:rPr>
          <w:rFonts w:ascii="Arial" w:hAnsi="Arial" w:cs="Arial"/>
          <w:szCs w:val="23"/>
        </w:rPr>
        <w:t xml:space="preserve"> </w:t>
      </w:r>
      <w:r w:rsidRPr="00840AC6">
        <w:rPr>
          <w:rFonts w:ascii="Arial" w:hAnsi="Arial" w:cs="Arial"/>
          <w:szCs w:val="23"/>
        </w:rPr>
        <w:t xml:space="preserve">to support </w:t>
      </w:r>
      <w:r w:rsidR="002C1244" w:rsidRPr="00840AC6">
        <w:rPr>
          <w:rFonts w:ascii="Arial" w:hAnsi="Arial" w:cs="Arial"/>
          <w:szCs w:val="23"/>
        </w:rPr>
        <w:t xml:space="preserve">community-based </w:t>
      </w:r>
      <w:r w:rsidRPr="00840AC6">
        <w:rPr>
          <w:rFonts w:ascii="Arial" w:hAnsi="Arial" w:cs="Arial"/>
          <w:szCs w:val="23"/>
        </w:rPr>
        <w:t xml:space="preserve">research. </w:t>
      </w:r>
    </w:p>
    <w:p w:rsidR="00123DA5" w:rsidRPr="00840AC6" w:rsidRDefault="00123DA5" w:rsidP="007942CF">
      <w:pPr>
        <w:ind w:right="540"/>
        <w:rPr>
          <w:rFonts w:ascii="Arial" w:hAnsi="Arial" w:cs="Arial"/>
          <w:szCs w:val="23"/>
        </w:rPr>
      </w:pPr>
    </w:p>
    <w:p w:rsidR="00123DA5" w:rsidRPr="00840AC6" w:rsidRDefault="00123DA5" w:rsidP="007942CF">
      <w:pPr>
        <w:ind w:right="540"/>
        <w:rPr>
          <w:rFonts w:ascii="Arial" w:hAnsi="Arial" w:cs="Arial"/>
          <w:szCs w:val="23"/>
        </w:rPr>
      </w:pPr>
      <w:r w:rsidRPr="00840AC6">
        <w:rPr>
          <w:rFonts w:ascii="Arial" w:hAnsi="Arial" w:cs="Arial"/>
          <w:szCs w:val="22"/>
        </w:rPr>
        <w:t>Community-University Research Partnership Grants</w:t>
      </w:r>
      <w:r w:rsidRPr="00840AC6">
        <w:rPr>
          <w:rFonts w:ascii="Arial" w:hAnsi="Arial" w:cs="Arial"/>
          <w:szCs w:val="23"/>
        </w:rPr>
        <w:t xml:space="preserve"> </w:t>
      </w:r>
      <w:r w:rsidR="00186E3C" w:rsidRPr="00840AC6">
        <w:rPr>
          <w:rFonts w:ascii="Arial" w:hAnsi="Arial" w:cs="Arial"/>
          <w:szCs w:val="23"/>
        </w:rPr>
        <w:t xml:space="preserve">for New Brunswick </w:t>
      </w:r>
      <w:r w:rsidRPr="00840AC6">
        <w:rPr>
          <w:rFonts w:ascii="Arial" w:hAnsi="Arial" w:cs="Arial"/>
          <w:szCs w:val="23"/>
        </w:rPr>
        <w:t>will do the following:</w:t>
      </w:r>
    </w:p>
    <w:p w:rsidR="004359FE" w:rsidRPr="00840AC6" w:rsidRDefault="00000A55" w:rsidP="00325141">
      <w:pPr>
        <w:numPr>
          <w:ilvl w:val="0"/>
          <w:numId w:val="5"/>
        </w:numPr>
        <w:rPr>
          <w:rFonts w:ascii="Arial" w:hAnsi="Arial" w:cs="Arial"/>
          <w:szCs w:val="23"/>
        </w:rPr>
      </w:pPr>
      <w:r w:rsidRPr="00840AC6">
        <w:rPr>
          <w:rFonts w:ascii="Arial" w:hAnsi="Arial" w:cs="Arial"/>
          <w:szCs w:val="23"/>
        </w:rPr>
        <w:t>Address one or more of the following topics</w:t>
      </w:r>
      <w:r w:rsidR="004359FE" w:rsidRPr="00840AC6">
        <w:rPr>
          <w:rFonts w:ascii="Arial" w:hAnsi="Arial" w:cs="Arial"/>
          <w:szCs w:val="23"/>
        </w:rPr>
        <w:t>:</w:t>
      </w:r>
      <w:r w:rsidR="004359FE" w:rsidRPr="00840AC6">
        <w:rPr>
          <w:rFonts w:ascii="Arial" w:hAnsi="Arial" w:cs="Arial"/>
        </w:rPr>
        <w:t xml:space="preserve"> </w:t>
      </w:r>
      <w:r w:rsidR="004359FE" w:rsidRPr="00840AC6">
        <w:rPr>
          <w:rFonts w:ascii="Arial" w:hAnsi="Arial" w:cs="Arial"/>
          <w:szCs w:val="23"/>
        </w:rPr>
        <w:t>public health, safety and wellness; cultures and diversity; sustainability and innovation; and citizenship, leadership and youth development.</w:t>
      </w:r>
    </w:p>
    <w:p w:rsidR="00123DA5" w:rsidRPr="00840AC6" w:rsidRDefault="00123DA5" w:rsidP="00325141">
      <w:pPr>
        <w:numPr>
          <w:ilvl w:val="0"/>
          <w:numId w:val="5"/>
        </w:numPr>
        <w:rPr>
          <w:rFonts w:ascii="Arial" w:hAnsi="Arial" w:cs="Arial"/>
          <w:szCs w:val="23"/>
        </w:rPr>
      </w:pPr>
      <w:r w:rsidRPr="00840AC6">
        <w:rPr>
          <w:rFonts w:ascii="Arial" w:hAnsi="Arial" w:cs="Arial"/>
          <w:szCs w:val="23"/>
        </w:rPr>
        <w:t xml:space="preserve">Involve a partnership between a Rutgers faculty member </w:t>
      </w:r>
      <w:r w:rsidR="00186E3C" w:rsidRPr="00840AC6">
        <w:rPr>
          <w:rFonts w:ascii="Arial" w:hAnsi="Arial" w:cs="Arial"/>
          <w:szCs w:val="23"/>
        </w:rPr>
        <w:t>and an identifi</w:t>
      </w:r>
      <w:r w:rsidRPr="00840AC6">
        <w:rPr>
          <w:rFonts w:ascii="Arial" w:hAnsi="Arial" w:cs="Arial"/>
          <w:szCs w:val="23"/>
        </w:rPr>
        <w:t>ed community organization</w:t>
      </w:r>
    </w:p>
    <w:p w:rsidR="00123DA5" w:rsidRPr="00840AC6" w:rsidRDefault="00186E3C" w:rsidP="007942CF">
      <w:pPr>
        <w:numPr>
          <w:ilvl w:val="0"/>
          <w:numId w:val="5"/>
        </w:numPr>
        <w:ind w:right="540"/>
        <w:rPr>
          <w:rFonts w:ascii="Arial" w:hAnsi="Arial" w:cs="Arial"/>
          <w:szCs w:val="23"/>
        </w:rPr>
      </w:pPr>
      <w:r w:rsidRPr="00840AC6">
        <w:rPr>
          <w:rFonts w:ascii="Arial" w:hAnsi="Arial" w:cs="Arial"/>
          <w:szCs w:val="23"/>
        </w:rPr>
        <w:t xml:space="preserve">Yield results </w:t>
      </w:r>
      <w:r w:rsidR="004F526D" w:rsidRPr="00840AC6">
        <w:rPr>
          <w:rFonts w:ascii="Arial" w:hAnsi="Arial" w:cs="Arial"/>
          <w:szCs w:val="23"/>
        </w:rPr>
        <w:t>both</w:t>
      </w:r>
      <w:r w:rsidR="0033164A" w:rsidRPr="00840AC6">
        <w:rPr>
          <w:rFonts w:ascii="Arial" w:hAnsi="Arial" w:cs="Arial"/>
          <w:szCs w:val="23"/>
        </w:rPr>
        <w:t xml:space="preserve"> </w:t>
      </w:r>
      <w:r w:rsidRPr="00840AC6">
        <w:rPr>
          <w:rFonts w:ascii="Arial" w:hAnsi="Arial" w:cs="Arial"/>
          <w:szCs w:val="23"/>
        </w:rPr>
        <w:t xml:space="preserve">scholarly </w:t>
      </w:r>
      <w:r w:rsidR="004F526D" w:rsidRPr="00840AC6">
        <w:rPr>
          <w:rFonts w:ascii="Arial" w:hAnsi="Arial" w:cs="Arial"/>
          <w:szCs w:val="23"/>
        </w:rPr>
        <w:t>and practical</w:t>
      </w:r>
      <w:r w:rsidR="00DA58AC" w:rsidRPr="00840AC6">
        <w:rPr>
          <w:rFonts w:ascii="Arial" w:hAnsi="Arial" w:cs="Arial"/>
          <w:szCs w:val="23"/>
        </w:rPr>
        <w:t>,</w:t>
      </w:r>
      <w:r w:rsidR="004F526D" w:rsidRPr="00840AC6">
        <w:rPr>
          <w:rFonts w:ascii="Arial" w:hAnsi="Arial" w:cs="Arial"/>
          <w:szCs w:val="23"/>
        </w:rPr>
        <w:t xml:space="preserve"> of benefit to the community</w:t>
      </w:r>
    </w:p>
    <w:p w:rsidR="00123DA5" w:rsidRPr="00840AC6" w:rsidRDefault="00123DA5" w:rsidP="00325141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3"/>
        </w:rPr>
        <w:t>Utilize the best practices for community-university research practices</w:t>
      </w:r>
      <w:r w:rsidR="004F526D" w:rsidRPr="00840AC6">
        <w:rPr>
          <w:rFonts w:ascii="Arial" w:hAnsi="Arial" w:cs="Arial"/>
          <w:szCs w:val="23"/>
        </w:rPr>
        <w:t xml:space="preserve"> </w:t>
      </w:r>
    </w:p>
    <w:p w:rsidR="000A6791" w:rsidRPr="00840AC6" w:rsidRDefault="000A6791" w:rsidP="000A6791">
      <w:pPr>
        <w:ind w:left="720" w:right="540"/>
        <w:rPr>
          <w:rFonts w:ascii="Arial" w:hAnsi="Arial" w:cs="Arial"/>
          <w:szCs w:val="22"/>
        </w:rPr>
      </w:pPr>
    </w:p>
    <w:p w:rsidR="00123DA5" w:rsidRDefault="00123DA5" w:rsidP="00325141">
      <w:pPr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Community Partners</w:t>
      </w:r>
    </w:p>
    <w:p w:rsidR="005B3792" w:rsidRPr="00840AC6" w:rsidRDefault="005B3792" w:rsidP="00325141">
      <w:pPr>
        <w:rPr>
          <w:rFonts w:ascii="Arial" w:hAnsi="Arial" w:cs="Arial"/>
          <w:b/>
          <w:szCs w:val="22"/>
        </w:rPr>
      </w:pPr>
    </w:p>
    <w:p w:rsidR="00123DA5" w:rsidRPr="00840AC6" w:rsidRDefault="00123DA5" w:rsidP="00325141">
      <w:pPr>
        <w:rPr>
          <w:rFonts w:ascii="Arial" w:hAnsi="Arial" w:cs="Arial"/>
          <w:i/>
          <w:szCs w:val="22"/>
        </w:rPr>
      </w:pPr>
      <w:r w:rsidRPr="00840AC6">
        <w:rPr>
          <w:rFonts w:ascii="Arial" w:hAnsi="Arial" w:cs="Arial"/>
          <w:szCs w:val="22"/>
        </w:rPr>
        <w:t>Proposals require clear evidence of a strong commitment from at</w:t>
      </w:r>
      <w:r w:rsidR="006A17C1" w:rsidRPr="00840AC6">
        <w:rPr>
          <w:rFonts w:ascii="Arial" w:hAnsi="Arial" w:cs="Arial"/>
          <w:szCs w:val="22"/>
        </w:rPr>
        <w:t xml:space="preserve"> least one community partner that</w:t>
      </w:r>
      <w:r w:rsidRPr="00840AC6">
        <w:rPr>
          <w:rFonts w:ascii="Arial" w:hAnsi="Arial" w:cs="Arial"/>
          <w:szCs w:val="22"/>
        </w:rPr>
        <w:t xml:space="preserve"> will be directly involved in the project. A “community partner</w:t>
      </w:r>
      <w:r w:rsidR="004F526D" w:rsidRPr="00840AC6">
        <w:rPr>
          <w:rFonts w:ascii="Arial" w:hAnsi="Arial" w:cs="Arial"/>
          <w:szCs w:val="22"/>
        </w:rPr>
        <w:t>” is defined as</w:t>
      </w:r>
      <w:r w:rsidRPr="00840AC6">
        <w:rPr>
          <w:rFonts w:ascii="Arial" w:hAnsi="Arial" w:cs="Arial"/>
          <w:szCs w:val="22"/>
        </w:rPr>
        <w:t xml:space="preserve"> </w:t>
      </w:r>
      <w:r w:rsidR="004F526D" w:rsidRPr="00840AC6">
        <w:rPr>
          <w:rFonts w:ascii="Arial" w:hAnsi="Arial" w:cs="Arial"/>
          <w:szCs w:val="22"/>
        </w:rPr>
        <w:t xml:space="preserve">a </w:t>
      </w:r>
      <w:r w:rsidRPr="00840AC6">
        <w:rPr>
          <w:rFonts w:ascii="Arial" w:hAnsi="Arial" w:cs="Arial"/>
          <w:szCs w:val="22"/>
        </w:rPr>
        <w:t>nonprofit group or public entity residing in New Brunswick and providing local services.</w:t>
      </w:r>
      <w:r w:rsidRPr="00840AC6">
        <w:rPr>
          <w:rFonts w:ascii="Arial" w:hAnsi="Arial" w:cs="Arial"/>
          <w:i/>
          <w:szCs w:val="22"/>
        </w:rPr>
        <w:t xml:space="preserve"> </w:t>
      </w:r>
      <w:r w:rsidRPr="00840AC6">
        <w:rPr>
          <w:rFonts w:ascii="Arial" w:hAnsi="Arial" w:cs="Arial"/>
          <w:szCs w:val="22"/>
        </w:rPr>
        <w:t>Community partners may be required to provide proof of their 501c3 status.</w:t>
      </w:r>
      <w:r w:rsidR="004F526D" w:rsidRPr="00840AC6">
        <w:rPr>
          <w:rFonts w:ascii="Arial" w:hAnsi="Arial" w:cs="Arial"/>
          <w:i/>
          <w:szCs w:val="22"/>
        </w:rPr>
        <w:t xml:space="preserve"> </w:t>
      </w:r>
    </w:p>
    <w:p w:rsidR="00123DA5" w:rsidRPr="00840AC6" w:rsidRDefault="00123DA5" w:rsidP="00325141">
      <w:pPr>
        <w:rPr>
          <w:rFonts w:ascii="Arial" w:hAnsi="Arial" w:cs="Arial"/>
          <w:b/>
          <w:szCs w:val="22"/>
        </w:rPr>
      </w:pPr>
    </w:p>
    <w:p w:rsidR="00123DA5" w:rsidRDefault="00123DA5" w:rsidP="00325141">
      <w:pPr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Who Can Apply</w:t>
      </w:r>
    </w:p>
    <w:p w:rsidR="005B3792" w:rsidRPr="00840AC6" w:rsidRDefault="005B3792" w:rsidP="00325141">
      <w:pPr>
        <w:rPr>
          <w:rFonts w:ascii="Arial" w:hAnsi="Arial" w:cs="Arial"/>
          <w:b/>
          <w:szCs w:val="22"/>
        </w:rPr>
      </w:pPr>
    </w:p>
    <w:p w:rsidR="00123DA5" w:rsidRPr="00840AC6" w:rsidRDefault="006A17C1" w:rsidP="00325141">
      <w:pPr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Although a faculty member or a community organization may initiate ideas for proposals</w:t>
      </w:r>
      <w:r w:rsidR="007D2F73" w:rsidRPr="00840AC6">
        <w:rPr>
          <w:rFonts w:ascii="Arial" w:hAnsi="Arial" w:cs="Arial"/>
          <w:szCs w:val="22"/>
        </w:rPr>
        <w:t xml:space="preserve">, a </w:t>
      </w:r>
      <w:r w:rsidR="002C1244" w:rsidRPr="00840AC6">
        <w:rPr>
          <w:rFonts w:ascii="Arial" w:hAnsi="Arial" w:cs="Arial"/>
          <w:szCs w:val="22"/>
        </w:rPr>
        <w:t>Rutgers</w:t>
      </w:r>
      <w:r w:rsidR="00123DA5" w:rsidRPr="00840AC6">
        <w:rPr>
          <w:rFonts w:ascii="Arial" w:hAnsi="Arial" w:cs="Arial"/>
          <w:szCs w:val="22"/>
        </w:rPr>
        <w:t xml:space="preserve"> faculty member must write</w:t>
      </w:r>
      <w:r w:rsidR="006B5323">
        <w:rPr>
          <w:rFonts w:ascii="Arial" w:hAnsi="Arial" w:cs="Arial"/>
          <w:szCs w:val="22"/>
        </w:rPr>
        <w:t xml:space="preserve"> and submit</w:t>
      </w:r>
      <w:r w:rsidR="00123DA5" w:rsidRPr="00840AC6">
        <w:rPr>
          <w:rFonts w:ascii="Arial" w:hAnsi="Arial" w:cs="Arial"/>
          <w:szCs w:val="22"/>
        </w:rPr>
        <w:t xml:space="preserve"> the proposal</w:t>
      </w:r>
      <w:r w:rsidR="00DF0B01" w:rsidRPr="00840AC6">
        <w:rPr>
          <w:rFonts w:ascii="Arial" w:hAnsi="Arial" w:cs="Arial"/>
          <w:szCs w:val="22"/>
        </w:rPr>
        <w:t xml:space="preserve">, actively serve as the </w:t>
      </w:r>
      <w:r w:rsidR="00B03423" w:rsidRPr="00840AC6">
        <w:rPr>
          <w:rFonts w:ascii="Arial" w:hAnsi="Arial" w:cs="Arial"/>
          <w:szCs w:val="22"/>
        </w:rPr>
        <w:t>P.I</w:t>
      </w:r>
      <w:r w:rsidR="00DF0B01" w:rsidRPr="00840AC6">
        <w:rPr>
          <w:rFonts w:ascii="Arial" w:hAnsi="Arial" w:cs="Arial"/>
          <w:szCs w:val="22"/>
        </w:rPr>
        <w:t>.,</w:t>
      </w:r>
      <w:r w:rsidR="00123DA5" w:rsidRPr="00840AC6">
        <w:rPr>
          <w:rFonts w:ascii="Arial" w:hAnsi="Arial" w:cs="Arial"/>
          <w:szCs w:val="22"/>
        </w:rPr>
        <w:t xml:space="preserve"> and assume financia</w:t>
      </w:r>
      <w:r w:rsidR="00325141">
        <w:rPr>
          <w:rFonts w:ascii="Arial" w:hAnsi="Arial" w:cs="Arial"/>
          <w:szCs w:val="22"/>
        </w:rPr>
        <w:t>l responsibility for the grant</w:t>
      </w:r>
      <w:r w:rsidR="00123DA5" w:rsidRPr="00840AC6">
        <w:rPr>
          <w:rFonts w:ascii="Arial" w:hAnsi="Arial" w:cs="Arial"/>
          <w:szCs w:val="22"/>
        </w:rPr>
        <w:t>.</w:t>
      </w:r>
    </w:p>
    <w:p w:rsidR="00123DA5" w:rsidRPr="00840AC6" w:rsidRDefault="00123DA5" w:rsidP="00325141">
      <w:pPr>
        <w:rPr>
          <w:rFonts w:ascii="Arial" w:hAnsi="Arial" w:cs="Arial"/>
          <w:b/>
          <w:szCs w:val="22"/>
        </w:rPr>
      </w:pPr>
    </w:p>
    <w:p w:rsidR="00123DA5" w:rsidRPr="00840AC6" w:rsidRDefault="00D302FD" w:rsidP="00325141">
      <w:pPr>
        <w:rPr>
          <w:rFonts w:ascii="Arial" w:hAnsi="Arial" w:cs="Arial"/>
          <w:szCs w:val="22"/>
        </w:rPr>
      </w:pPr>
      <w:r w:rsidRPr="00840AC6">
        <w:rPr>
          <w:rFonts w:ascii="Arial" w:hAnsi="Arial" w:cs="Arial"/>
          <w:color w:val="000000"/>
          <w:szCs w:val="22"/>
          <w:shd w:val="clear" w:color="auto" w:fill="FFFFFF"/>
        </w:rPr>
        <w:t>Tenured, tenure-</w:t>
      </w:r>
      <w:r w:rsidR="00186E3C" w:rsidRPr="00840AC6">
        <w:rPr>
          <w:rFonts w:ascii="Arial" w:hAnsi="Arial" w:cs="Arial"/>
          <w:color w:val="000000"/>
          <w:szCs w:val="22"/>
          <w:shd w:val="clear" w:color="auto" w:fill="FFFFFF"/>
        </w:rPr>
        <w:t>track</w:t>
      </w:r>
      <w:r w:rsidR="005A48A8" w:rsidRPr="00840AC6">
        <w:rPr>
          <w:rFonts w:ascii="Arial" w:hAnsi="Arial" w:cs="Arial"/>
          <w:color w:val="000000"/>
          <w:szCs w:val="22"/>
          <w:shd w:val="clear" w:color="auto" w:fill="FFFFFF"/>
        </w:rPr>
        <w:t>,</w:t>
      </w:r>
      <w:r w:rsidR="00186E3C" w:rsidRPr="00840AC6">
        <w:rPr>
          <w:rFonts w:ascii="Arial" w:hAnsi="Arial" w:cs="Arial"/>
          <w:color w:val="000000"/>
          <w:szCs w:val="22"/>
          <w:shd w:val="clear" w:color="auto" w:fill="FFFFFF"/>
        </w:rPr>
        <w:t xml:space="preserve"> and full-time </w:t>
      </w:r>
      <w:r w:rsidR="000A672A" w:rsidRPr="00840AC6">
        <w:rPr>
          <w:rFonts w:ascii="Arial" w:hAnsi="Arial" w:cs="Arial"/>
          <w:color w:val="000000"/>
          <w:szCs w:val="22"/>
          <w:shd w:val="clear" w:color="auto" w:fill="FFFFFF"/>
        </w:rPr>
        <w:t xml:space="preserve">clinical and </w:t>
      </w:r>
      <w:r w:rsidR="00186E3C" w:rsidRPr="00840AC6">
        <w:rPr>
          <w:rFonts w:ascii="Arial" w:hAnsi="Arial" w:cs="Arial"/>
          <w:color w:val="000000"/>
          <w:szCs w:val="22"/>
          <w:shd w:val="clear" w:color="auto" w:fill="FFFFFF"/>
        </w:rPr>
        <w:t xml:space="preserve">research (supported by non-state funding) </w:t>
      </w:r>
      <w:r w:rsidR="009365A3" w:rsidRPr="00840AC6">
        <w:rPr>
          <w:rFonts w:ascii="Arial" w:hAnsi="Arial" w:cs="Arial"/>
          <w:color w:val="000000"/>
          <w:szCs w:val="22"/>
          <w:shd w:val="clear" w:color="auto" w:fill="FFFFFF"/>
        </w:rPr>
        <w:t xml:space="preserve">faculty </w:t>
      </w:r>
      <w:r w:rsidR="00186E3C" w:rsidRPr="00840AC6">
        <w:rPr>
          <w:rFonts w:ascii="Arial" w:hAnsi="Arial" w:cs="Arial"/>
          <w:color w:val="000000"/>
          <w:szCs w:val="22"/>
          <w:shd w:val="clear" w:color="auto" w:fill="FFFFFF"/>
        </w:rPr>
        <w:t>are eligible to apply</w:t>
      </w:r>
      <w:r w:rsidR="00123DA5" w:rsidRPr="00840AC6">
        <w:rPr>
          <w:rFonts w:ascii="Arial" w:hAnsi="Arial" w:cs="Arial"/>
          <w:szCs w:val="22"/>
        </w:rPr>
        <w:t>. Faculty members who submit proposals must actively serve as the proposed project’s co-direct</w:t>
      </w:r>
      <w:r w:rsidR="00325141">
        <w:rPr>
          <w:rFonts w:ascii="Arial" w:hAnsi="Arial" w:cs="Arial"/>
          <w:szCs w:val="22"/>
        </w:rPr>
        <w:t>or and may not sponsor a grant</w:t>
      </w:r>
      <w:r w:rsidR="00123DA5" w:rsidRPr="00840AC6">
        <w:rPr>
          <w:rFonts w:ascii="Arial" w:hAnsi="Arial" w:cs="Arial"/>
          <w:szCs w:val="22"/>
        </w:rPr>
        <w:t xml:space="preserve"> that will be conducted by someone else.</w:t>
      </w:r>
      <w:r w:rsidR="004F526D" w:rsidRPr="00840AC6">
        <w:rPr>
          <w:rFonts w:ascii="Arial" w:hAnsi="Arial" w:cs="Arial"/>
          <w:szCs w:val="22"/>
        </w:rPr>
        <w:t xml:space="preserve"> </w:t>
      </w:r>
      <w:r w:rsidR="00123DA5" w:rsidRPr="00840AC6">
        <w:rPr>
          <w:rFonts w:ascii="Arial" w:hAnsi="Arial" w:cs="Arial"/>
          <w:szCs w:val="22"/>
        </w:rPr>
        <w:t>Community organization representatives, administrators, and students can participate as project co-directors with a faculty member.</w:t>
      </w:r>
      <w:r w:rsidR="004F526D" w:rsidRPr="00840AC6">
        <w:rPr>
          <w:rFonts w:ascii="Arial" w:hAnsi="Arial" w:cs="Arial"/>
          <w:szCs w:val="22"/>
        </w:rPr>
        <w:t xml:space="preserve"> </w:t>
      </w:r>
    </w:p>
    <w:p w:rsidR="00123DA5" w:rsidRPr="00840AC6" w:rsidRDefault="00123DA5" w:rsidP="007942CF">
      <w:pPr>
        <w:ind w:right="540"/>
        <w:rPr>
          <w:rFonts w:ascii="Arial" w:hAnsi="Arial" w:cs="Arial"/>
          <w:szCs w:val="22"/>
        </w:rPr>
      </w:pPr>
    </w:p>
    <w:p w:rsidR="00123DA5" w:rsidRDefault="00123DA5" w:rsidP="007942CF">
      <w:pPr>
        <w:ind w:right="540"/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Award Timeline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325141" w:rsidRPr="00325141" w:rsidRDefault="00123DA5" w:rsidP="00325141">
      <w:pPr>
        <w:pStyle w:val="ListParagraph"/>
        <w:numPr>
          <w:ilvl w:val="0"/>
          <w:numId w:val="8"/>
        </w:numPr>
        <w:ind w:right="540"/>
        <w:rPr>
          <w:rFonts w:ascii="Arial" w:hAnsi="Arial" w:cs="Arial"/>
          <w:sz w:val="22"/>
          <w:szCs w:val="22"/>
        </w:rPr>
      </w:pPr>
      <w:r w:rsidRPr="00325141">
        <w:rPr>
          <w:rFonts w:ascii="Arial" w:hAnsi="Arial" w:cs="Arial"/>
          <w:sz w:val="22"/>
          <w:szCs w:val="22"/>
        </w:rPr>
        <w:t>Applica</w:t>
      </w:r>
      <w:r w:rsidR="00A25D74">
        <w:rPr>
          <w:rFonts w:ascii="Arial" w:hAnsi="Arial" w:cs="Arial"/>
          <w:sz w:val="22"/>
          <w:szCs w:val="22"/>
        </w:rPr>
        <w:t xml:space="preserve">tions </w:t>
      </w:r>
      <w:r w:rsidR="006A17C1" w:rsidRPr="00325141">
        <w:rPr>
          <w:rFonts w:ascii="Arial" w:hAnsi="Arial" w:cs="Arial"/>
          <w:sz w:val="22"/>
          <w:szCs w:val="22"/>
        </w:rPr>
        <w:t xml:space="preserve">accepted </w:t>
      </w:r>
      <w:r w:rsidRPr="00325141">
        <w:rPr>
          <w:rFonts w:ascii="Arial" w:hAnsi="Arial" w:cs="Arial"/>
          <w:sz w:val="22"/>
          <w:szCs w:val="22"/>
        </w:rPr>
        <w:t xml:space="preserve">until </w:t>
      </w:r>
      <w:r w:rsidR="002759D8">
        <w:rPr>
          <w:rFonts w:ascii="Arial" w:hAnsi="Arial" w:cs="Arial"/>
          <w:sz w:val="22"/>
          <w:szCs w:val="22"/>
        </w:rPr>
        <w:t>4:00 p.m. on March 9</w:t>
      </w:r>
      <w:r w:rsidR="00325141" w:rsidRPr="00E521FF">
        <w:rPr>
          <w:rFonts w:ascii="Arial" w:hAnsi="Arial" w:cs="Arial"/>
          <w:sz w:val="22"/>
          <w:szCs w:val="22"/>
        </w:rPr>
        <w:t>,</w:t>
      </w:r>
      <w:r w:rsidR="00374504">
        <w:rPr>
          <w:rFonts w:ascii="Arial" w:hAnsi="Arial" w:cs="Arial"/>
          <w:sz w:val="22"/>
          <w:szCs w:val="22"/>
        </w:rPr>
        <w:t xml:space="preserve"> 2018</w:t>
      </w:r>
      <w:r w:rsidR="00E521FF">
        <w:rPr>
          <w:rFonts w:ascii="Arial" w:hAnsi="Arial" w:cs="Arial"/>
          <w:sz w:val="22"/>
          <w:szCs w:val="22"/>
        </w:rPr>
        <w:t>.</w:t>
      </w:r>
    </w:p>
    <w:p w:rsidR="00325141" w:rsidRPr="00325141" w:rsidRDefault="00123DA5" w:rsidP="00325141">
      <w:pPr>
        <w:pStyle w:val="ListParagraph"/>
        <w:numPr>
          <w:ilvl w:val="0"/>
          <w:numId w:val="8"/>
        </w:numPr>
        <w:ind w:right="540"/>
        <w:rPr>
          <w:rFonts w:ascii="Arial" w:hAnsi="Arial" w:cs="Arial"/>
          <w:sz w:val="22"/>
          <w:szCs w:val="22"/>
        </w:rPr>
      </w:pPr>
      <w:r w:rsidRPr="00325141">
        <w:rPr>
          <w:rFonts w:ascii="Arial" w:hAnsi="Arial" w:cs="Arial"/>
          <w:sz w:val="22"/>
          <w:szCs w:val="22"/>
        </w:rPr>
        <w:t>Grant n</w:t>
      </w:r>
      <w:r w:rsidR="0028369B" w:rsidRPr="00325141">
        <w:rPr>
          <w:rFonts w:ascii="Arial" w:hAnsi="Arial" w:cs="Arial"/>
          <w:sz w:val="22"/>
          <w:szCs w:val="22"/>
        </w:rPr>
        <w:t xml:space="preserve">otifications will be made by </w:t>
      </w:r>
      <w:r w:rsidR="002759D8">
        <w:rPr>
          <w:rFonts w:ascii="Arial" w:hAnsi="Arial" w:cs="Arial"/>
          <w:sz w:val="22"/>
          <w:szCs w:val="22"/>
        </w:rPr>
        <w:t>April 3</w:t>
      </w:r>
      <w:bookmarkStart w:id="0" w:name="_GoBack"/>
      <w:bookmarkEnd w:id="0"/>
      <w:r w:rsidR="00374504">
        <w:rPr>
          <w:rFonts w:ascii="Arial" w:hAnsi="Arial" w:cs="Arial"/>
          <w:sz w:val="22"/>
          <w:szCs w:val="22"/>
        </w:rPr>
        <w:t>0</w:t>
      </w:r>
      <w:r w:rsidR="0028369B" w:rsidRPr="00325141">
        <w:rPr>
          <w:rFonts w:ascii="Arial" w:hAnsi="Arial" w:cs="Arial"/>
          <w:sz w:val="22"/>
          <w:szCs w:val="22"/>
        </w:rPr>
        <w:t xml:space="preserve">, </w:t>
      </w:r>
      <w:r w:rsidR="00374504">
        <w:rPr>
          <w:rFonts w:ascii="Arial" w:hAnsi="Arial" w:cs="Arial"/>
          <w:sz w:val="22"/>
          <w:szCs w:val="22"/>
        </w:rPr>
        <w:t>2018</w:t>
      </w:r>
      <w:r w:rsidR="00E521FF">
        <w:rPr>
          <w:rFonts w:ascii="Arial" w:hAnsi="Arial" w:cs="Arial"/>
          <w:sz w:val="22"/>
          <w:szCs w:val="22"/>
        </w:rPr>
        <w:t>.</w:t>
      </w:r>
    </w:p>
    <w:p w:rsidR="00123DA5" w:rsidRPr="00325141" w:rsidRDefault="00123DA5" w:rsidP="00325141">
      <w:pPr>
        <w:pStyle w:val="ListParagraph"/>
        <w:numPr>
          <w:ilvl w:val="0"/>
          <w:numId w:val="8"/>
        </w:numPr>
        <w:ind w:right="540"/>
        <w:rPr>
          <w:rFonts w:ascii="Arial" w:hAnsi="Arial" w:cs="Arial"/>
          <w:sz w:val="22"/>
          <w:szCs w:val="22"/>
        </w:rPr>
      </w:pPr>
      <w:r w:rsidRPr="00325141">
        <w:rPr>
          <w:rFonts w:ascii="Arial" w:hAnsi="Arial" w:cs="Arial"/>
          <w:sz w:val="22"/>
          <w:szCs w:val="22"/>
        </w:rPr>
        <w:t xml:space="preserve">The funding cycle is from </w:t>
      </w:r>
      <w:r w:rsidR="00374504">
        <w:rPr>
          <w:rFonts w:ascii="Arial" w:hAnsi="Arial" w:cs="Arial"/>
          <w:sz w:val="22"/>
          <w:szCs w:val="22"/>
        </w:rPr>
        <w:t>July 1, 2018</w:t>
      </w:r>
      <w:r w:rsidR="000E6228" w:rsidRPr="00325141">
        <w:rPr>
          <w:rFonts w:ascii="Arial" w:hAnsi="Arial" w:cs="Arial"/>
          <w:sz w:val="22"/>
          <w:szCs w:val="22"/>
        </w:rPr>
        <w:t xml:space="preserve"> – June</w:t>
      </w:r>
      <w:r w:rsidR="00374504">
        <w:rPr>
          <w:rFonts w:ascii="Arial" w:hAnsi="Arial" w:cs="Arial"/>
          <w:sz w:val="22"/>
          <w:szCs w:val="22"/>
        </w:rPr>
        <w:t xml:space="preserve"> 30, 2019</w:t>
      </w:r>
      <w:r w:rsidR="00E521FF">
        <w:rPr>
          <w:rFonts w:ascii="Arial" w:hAnsi="Arial" w:cs="Arial"/>
          <w:sz w:val="22"/>
          <w:szCs w:val="22"/>
        </w:rPr>
        <w:t>.</w:t>
      </w:r>
    </w:p>
    <w:p w:rsidR="00123DA5" w:rsidRPr="00840AC6" w:rsidRDefault="00123DA5" w:rsidP="007942CF">
      <w:pPr>
        <w:pStyle w:val="ListParagraph"/>
        <w:ind w:left="1440" w:right="540"/>
        <w:rPr>
          <w:rFonts w:ascii="Arial" w:hAnsi="Arial" w:cs="Arial"/>
          <w:sz w:val="22"/>
          <w:szCs w:val="22"/>
        </w:rPr>
      </w:pPr>
    </w:p>
    <w:p w:rsidR="008A0B6D" w:rsidRDefault="008A0B6D" w:rsidP="007942CF">
      <w:pPr>
        <w:ind w:right="540"/>
        <w:rPr>
          <w:rFonts w:ascii="Arial" w:hAnsi="Arial" w:cs="Arial"/>
          <w:b/>
          <w:szCs w:val="22"/>
        </w:rPr>
      </w:pPr>
    </w:p>
    <w:p w:rsidR="00123DA5" w:rsidRDefault="00D941FC" w:rsidP="007942CF">
      <w:pPr>
        <w:ind w:right="5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Submission Requirements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86600A" w:rsidRDefault="00D941FC" w:rsidP="00D941FC">
      <w:pPr>
        <w:pStyle w:val="ListParagraph"/>
        <w:numPr>
          <w:ilvl w:val="0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AB1A7C">
        <w:rPr>
          <w:rFonts w:ascii="Arial" w:hAnsi="Arial" w:cs="Arial"/>
          <w:sz w:val="22"/>
          <w:szCs w:val="22"/>
        </w:rPr>
        <w:t>Electronic submissions are required</w:t>
      </w:r>
      <w:r w:rsidR="0086600A">
        <w:rPr>
          <w:rFonts w:ascii="Arial" w:hAnsi="Arial" w:cs="Arial"/>
          <w:sz w:val="22"/>
          <w:szCs w:val="22"/>
        </w:rPr>
        <w:t xml:space="preserve">. </w:t>
      </w:r>
    </w:p>
    <w:p w:rsidR="00AA120B" w:rsidRPr="00B376EF" w:rsidRDefault="0086600A" w:rsidP="00D941FC">
      <w:pPr>
        <w:pStyle w:val="ListParagraph"/>
        <w:numPr>
          <w:ilvl w:val="0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Application packets</w:t>
      </w:r>
      <w:r w:rsidR="00AB1A7C" w:rsidRPr="00B376EF">
        <w:rPr>
          <w:rFonts w:ascii="Arial" w:hAnsi="Arial" w:cs="Arial"/>
          <w:sz w:val="22"/>
          <w:szCs w:val="22"/>
        </w:rPr>
        <w:t xml:space="preserve"> should be</w:t>
      </w:r>
      <w:r w:rsidR="00D941FC" w:rsidRPr="00B376EF">
        <w:rPr>
          <w:rFonts w:ascii="Arial" w:hAnsi="Arial" w:cs="Arial"/>
          <w:sz w:val="22"/>
          <w:szCs w:val="22"/>
        </w:rPr>
        <w:t xml:space="preserve"> saved as one PDF </w:t>
      </w:r>
      <w:r w:rsidR="00793257" w:rsidRPr="00B376EF">
        <w:rPr>
          <w:rFonts w:ascii="Arial" w:hAnsi="Arial" w:cs="Arial"/>
          <w:sz w:val="22"/>
          <w:szCs w:val="22"/>
        </w:rPr>
        <w:t>document</w:t>
      </w:r>
      <w:r w:rsidR="006B5323" w:rsidRPr="00B376EF">
        <w:rPr>
          <w:rFonts w:ascii="Arial" w:hAnsi="Arial" w:cs="Arial"/>
          <w:sz w:val="22"/>
          <w:szCs w:val="22"/>
        </w:rPr>
        <w:t xml:space="preserve"> and submitted through </w:t>
      </w:r>
      <w:r w:rsidR="00310942" w:rsidRPr="00B376EF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0F79CE">
          <w:rPr>
            <w:rStyle w:val="Hyperlink"/>
            <w:rFonts w:ascii="Arial" w:hAnsi="Arial" w:cs="Arial"/>
            <w:sz w:val="22"/>
            <w:szCs w:val="22"/>
          </w:rPr>
          <w:t>NB Grant Applic. 2018/19</w:t>
        </w:r>
      </w:hyperlink>
      <w:r w:rsidR="00B376EF" w:rsidRPr="00B376EF">
        <w:rPr>
          <w:rFonts w:ascii="Arial" w:hAnsi="Arial" w:cs="Arial"/>
          <w:sz w:val="22"/>
          <w:szCs w:val="22"/>
        </w:rPr>
        <w:t xml:space="preserve"> </w:t>
      </w:r>
      <w:r w:rsidR="00D941FC" w:rsidRPr="00B376EF">
        <w:rPr>
          <w:rFonts w:ascii="Arial" w:hAnsi="Arial" w:cs="Arial"/>
          <w:sz w:val="22"/>
          <w:szCs w:val="22"/>
        </w:rPr>
        <w:t xml:space="preserve">Application </w:t>
      </w:r>
      <w:r w:rsidR="006B5323" w:rsidRPr="00B376EF">
        <w:rPr>
          <w:rFonts w:ascii="Arial" w:hAnsi="Arial" w:cs="Arial"/>
          <w:sz w:val="22"/>
          <w:szCs w:val="22"/>
        </w:rPr>
        <w:t xml:space="preserve">packets </w:t>
      </w:r>
      <w:r w:rsidR="00AA120B" w:rsidRPr="00B376EF">
        <w:rPr>
          <w:rFonts w:ascii="Arial" w:hAnsi="Arial" w:cs="Arial"/>
          <w:sz w:val="22"/>
          <w:szCs w:val="22"/>
        </w:rPr>
        <w:t>must include:</w:t>
      </w:r>
      <w:r w:rsidR="006B5323" w:rsidRPr="00B376EF">
        <w:rPr>
          <w:rFonts w:ascii="Arial" w:hAnsi="Arial" w:cs="Arial"/>
          <w:sz w:val="22"/>
          <w:szCs w:val="22"/>
        </w:rPr>
        <w:t xml:space="preserve"> </w:t>
      </w:r>
    </w:p>
    <w:p w:rsidR="00AA120B" w:rsidRPr="006B5323" w:rsidRDefault="00A274B0" w:rsidP="00AA120B">
      <w:pPr>
        <w:numPr>
          <w:ilvl w:val="1"/>
          <w:numId w:val="7"/>
        </w:numPr>
        <w:ind w:right="540"/>
        <w:rPr>
          <w:rFonts w:ascii="Arial" w:hAnsi="Arial" w:cs="Arial"/>
          <w:szCs w:val="22"/>
        </w:rPr>
      </w:pPr>
      <w:r w:rsidRPr="006B5323">
        <w:rPr>
          <w:rFonts w:ascii="Arial" w:hAnsi="Arial" w:cs="Arial"/>
          <w:szCs w:val="22"/>
        </w:rPr>
        <w:t>c</w:t>
      </w:r>
      <w:r w:rsidR="00C9162D" w:rsidRPr="006B5323">
        <w:rPr>
          <w:rFonts w:ascii="Arial" w:hAnsi="Arial" w:cs="Arial"/>
          <w:szCs w:val="22"/>
        </w:rPr>
        <w:t xml:space="preserve">ompleted </w:t>
      </w:r>
      <w:r w:rsidR="00AA120B" w:rsidRPr="006B5323">
        <w:rPr>
          <w:rFonts w:ascii="Arial" w:hAnsi="Arial" w:cs="Arial"/>
          <w:szCs w:val="22"/>
        </w:rPr>
        <w:t>grant application</w:t>
      </w:r>
      <w:r w:rsidR="00C9162D" w:rsidRPr="006B5323">
        <w:rPr>
          <w:rFonts w:ascii="Arial" w:hAnsi="Arial" w:cs="Arial"/>
          <w:szCs w:val="22"/>
        </w:rPr>
        <w:t xml:space="preserve"> form</w:t>
      </w:r>
      <w:r w:rsidR="006B5323">
        <w:rPr>
          <w:rFonts w:ascii="Arial" w:hAnsi="Arial" w:cs="Arial"/>
          <w:szCs w:val="22"/>
        </w:rPr>
        <w:t xml:space="preserve"> no longer than four pages</w:t>
      </w:r>
    </w:p>
    <w:p w:rsidR="00AA120B" w:rsidRPr="006B5323" w:rsidRDefault="00A274B0" w:rsidP="00AA120B">
      <w:pPr>
        <w:numPr>
          <w:ilvl w:val="1"/>
          <w:numId w:val="7"/>
        </w:numPr>
        <w:ind w:right="540"/>
        <w:rPr>
          <w:rFonts w:ascii="Arial" w:hAnsi="Arial" w:cs="Arial"/>
          <w:szCs w:val="22"/>
        </w:rPr>
      </w:pPr>
      <w:r w:rsidRPr="006B5323">
        <w:rPr>
          <w:rFonts w:ascii="Arial" w:hAnsi="Arial" w:cs="Arial"/>
          <w:szCs w:val="22"/>
        </w:rPr>
        <w:t>c</w:t>
      </w:r>
      <w:r w:rsidR="00C9162D" w:rsidRPr="006B5323">
        <w:rPr>
          <w:rFonts w:ascii="Arial" w:hAnsi="Arial" w:cs="Arial"/>
          <w:szCs w:val="22"/>
        </w:rPr>
        <w:t xml:space="preserve">ompleted </w:t>
      </w:r>
      <w:r w:rsidR="00123DA5" w:rsidRPr="006B5323">
        <w:rPr>
          <w:rFonts w:ascii="Arial" w:hAnsi="Arial" w:cs="Arial"/>
          <w:szCs w:val="22"/>
        </w:rPr>
        <w:t>budget</w:t>
      </w:r>
      <w:r w:rsidR="00AA120B" w:rsidRPr="006B5323">
        <w:rPr>
          <w:rFonts w:ascii="Arial" w:hAnsi="Arial" w:cs="Arial"/>
          <w:szCs w:val="22"/>
        </w:rPr>
        <w:t xml:space="preserve"> form</w:t>
      </w:r>
    </w:p>
    <w:p w:rsidR="00123DA5" w:rsidRPr="006B5323" w:rsidRDefault="00123DA5" w:rsidP="00AA120B">
      <w:pPr>
        <w:numPr>
          <w:ilvl w:val="1"/>
          <w:numId w:val="7"/>
        </w:numPr>
        <w:ind w:right="540"/>
        <w:rPr>
          <w:rFonts w:ascii="Arial" w:hAnsi="Arial" w:cs="Arial"/>
          <w:szCs w:val="22"/>
        </w:rPr>
      </w:pPr>
      <w:r w:rsidRPr="006B5323">
        <w:rPr>
          <w:rFonts w:ascii="Arial" w:hAnsi="Arial" w:cs="Arial"/>
          <w:szCs w:val="22"/>
        </w:rPr>
        <w:t xml:space="preserve">letter of endorsement and commitment from the </w:t>
      </w:r>
      <w:r w:rsidR="00AA120B" w:rsidRPr="006B5323">
        <w:rPr>
          <w:rFonts w:ascii="Arial" w:hAnsi="Arial" w:cs="Arial"/>
          <w:szCs w:val="22"/>
        </w:rPr>
        <w:t>community partner organization</w:t>
      </w:r>
    </w:p>
    <w:p w:rsidR="00AA120B" w:rsidRPr="006B5323" w:rsidRDefault="006B5323" w:rsidP="00AA120B">
      <w:pPr>
        <w:numPr>
          <w:ilvl w:val="1"/>
          <w:numId w:val="7"/>
        </w:numPr>
        <w:ind w:right="5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B03423" w:rsidRPr="006B5323">
        <w:rPr>
          <w:rFonts w:ascii="Arial" w:hAnsi="Arial" w:cs="Arial"/>
          <w:szCs w:val="22"/>
        </w:rPr>
        <w:t>n abbreviated</w:t>
      </w:r>
      <w:r w:rsidR="00213B2A" w:rsidRPr="006B5323">
        <w:rPr>
          <w:rFonts w:ascii="Arial" w:hAnsi="Arial" w:cs="Arial"/>
          <w:szCs w:val="22"/>
        </w:rPr>
        <w:t xml:space="preserve"> </w:t>
      </w:r>
      <w:r w:rsidR="00AA120B" w:rsidRPr="006B5323">
        <w:rPr>
          <w:rFonts w:ascii="Arial" w:hAnsi="Arial" w:cs="Arial"/>
          <w:szCs w:val="22"/>
        </w:rPr>
        <w:t>CV</w:t>
      </w:r>
      <w:r w:rsidR="00B03423" w:rsidRPr="006B5323">
        <w:rPr>
          <w:rFonts w:ascii="Arial" w:hAnsi="Arial" w:cs="Arial"/>
          <w:szCs w:val="22"/>
        </w:rPr>
        <w:t xml:space="preserve"> of the P.I. that demonstrates related research</w:t>
      </w:r>
      <w:r w:rsidR="00311AFC" w:rsidRPr="006B5323">
        <w:rPr>
          <w:rFonts w:ascii="Arial" w:hAnsi="Arial" w:cs="Arial"/>
          <w:szCs w:val="22"/>
        </w:rPr>
        <w:t xml:space="preserve"> (two pages maximum)</w:t>
      </w:r>
    </w:p>
    <w:p w:rsidR="00124201" w:rsidRDefault="006B5323" w:rsidP="006B5323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6B5323">
        <w:rPr>
          <w:rFonts w:ascii="Arial" w:hAnsi="Arial" w:cs="Arial"/>
          <w:b/>
          <w:szCs w:val="22"/>
        </w:rPr>
        <w:t>Grant application forms longer than four pages will not be reviewed</w:t>
      </w:r>
      <w:r>
        <w:rPr>
          <w:rFonts w:ascii="Arial" w:hAnsi="Arial" w:cs="Arial"/>
          <w:szCs w:val="22"/>
        </w:rPr>
        <w:t xml:space="preserve"> </w:t>
      </w:r>
      <w:r w:rsidR="00AA120B" w:rsidRPr="006B5323">
        <w:rPr>
          <w:rFonts w:ascii="Arial" w:hAnsi="Arial" w:cs="Arial"/>
          <w:szCs w:val="22"/>
        </w:rPr>
        <w:t>(</w:t>
      </w:r>
      <w:r w:rsidR="002C1244" w:rsidRPr="006B5323">
        <w:rPr>
          <w:rFonts w:ascii="Arial" w:hAnsi="Arial" w:cs="Arial"/>
          <w:szCs w:val="22"/>
        </w:rPr>
        <w:t xml:space="preserve">not including the </w:t>
      </w:r>
      <w:r w:rsidR="00123DA5" w:rsidRPr="006B5323">
        <w:rPr>
          <w:rFonts w:ascii="Arial" w:hAnsi="Arial" w:cs="Arial"/>
          <w:szCs w:val="22"/>
        </w:rPr>
        <w:t>budget form</w:t>
      </w:r>
      <w:r w:rsidR="00AA120B" w:rsidRPr="006B5323">
        <w:rPr>
          <w:rFonts w:ascii="Arial" w:hAnsi="Arial" w:cs="Arial"/>
          <w:szCs w:val="22"/>
        </w:rPr>
        <w:t xml:space="preserve">, </w:t>
      </w:r>
      <w:r w:rsidR="002C1244" w:rsidRPr="006B5323">
        <w:rPr>
          <w:rFonts w:ascii="Arial" w:hAnsi="Arial" w:cs="Arial"/>
          <w:szCs w:val="22"/>
        </w:rPr>
        <w:t>letter of endorsement</w:t>
      </w:r>
      <w:r w:rsidR="005E01C4" w:rsidRPr="006B5323">
        <w:rPr>
          <w:rFonts w:ascii="Arial" w:hAnsi="Arial" w:cs="Arial"/>
          <w:szCs w:val="22"/>
        </w:rPr>
        <w:t>,</w:t>
      </w:r>
      <w:r w:rsidR="00AA120B" w:rsidRPr="006B5323">
        <w:rPr>
          <w:rFonts w:ascii="Arial" w:hAnsi="Arial" w:cs="Arial"/>
          <w:szCs w:val="22"/>
        </w:rPr>
        <w:t xml:space="preserve"> and </w:t>
      </w:r>
      <w:r w:rsidRPr="006B5323">
        <w:rPr>
          <w:rFonts w:ascii="Arial" w:hAnsi="Arial" w:cs="Arial"/>
          <w:szCs w:val="22"/>
        </w:rPr>
        <w:t xml:space="preserve">abbreviated </w:t>
      </w:r>
      <w:r w:rsidR="00124201">
        <w:rPr>
          <w:rFonts w:ascii="Arial" w:hAnsi="Arial" w:cs="Arial"/>
          <w:szCs w:val="22"/>
        </w:rPr>
        <w:t>CV).</w:t>
      </w:r>
      <w:r w:rsidR="00AA120B" w:rsidRPr="006B5323">
        <w:rPr>
          <w:rFonts w:ascii="Arial" w:hAnsi="Arial" w:cs="Arial"/>
          <w:szCs w:val="22"/>
        </w:rPr>
        <w:t xml:space="preserve"> </w:t>
      </w:r>
    </w:p>
    <w:p w:rsidR="006B5323" w:rsidRDefault="00124201" w:rsidP="006B5323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124201">
        <w:rPr>
          <w:rFonts w:ascii="Arial" w:hAnsi="Arial" w:cs="Arial"/>
          <w:szCs w:val="22"/>
        </w:rPr>
        <w:t>Use</w:t>
      </w:r>
      <w:r>
        <w:rPr>
          <w:rFonts w:ascii="Arial" w:hAnsi="Arial" w:cs="Arial"/>
          <w:b/>
          <w:szCs w:val="22"/>
        </w:rPr>
        <w:t xml:space="preserve"> </w:t>
      </w:r>
      <w:r w:rsidR="0091070F">
        <w:rPr>
          <w:rFonts w:ascii="Arial" w:hAnsi="Arial" w:cs="Arial"/>
          <w:szCs w:val="22"/>
        </w:rPr>
        <w:t>Times New Roman, 11 pt. font</w:t>
      </w:r>
      <w:r w:rsidR="00AA120B" w:rsidRPr="006B5323">
        <w:rPr>
          <w:rFonts w:ascii="Arial" w:hAnsi="Arial" w:cs="Arial"/>
          <w:szCs w:val="22"/>
        </w:rPr>
        <w:t xml:space="preserve"> </w:t>
      </w:r>
      <w:r w:rsidR="0091070F">
        <w:rPr>
          <w:rFonts w:ascii="Arial" w:hAnsi="Arial" w:cs="Arial"/>
          <w:szCs w:val="22"/>
        </w:rPr>
        <w:t>on</w:t>
      </w:r>
      <w:r>
        <w:rPr>
          <w:rFonts w:ascii="Arial" w:hAnsi="Arial" w:cs="Arial"/>
          <w:szCs w:val="22"/>
        </w:rPr>
        <w:t xml:space="preserve"> the grant application form.</w:t>
      </w:r>
    </w:p>
    <w:p w:rsidR="00793257" w:rsidRPr="006B5323" w:rsidRDefault="00123DA5" w:rsidP="006B5323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6B5323">
        <w:rPr>
          <w:rFonts w:ascii="Arial" w:hAnsi="Arial" w:cs="Arial"/>
          <w:szCs w:val="22"/>
        </w:rPr>
        <w:t xml:space="preserve">The </w:t>
      </w:r>
      <w:r w:rsidR="002C1244" w:rsidRPr="006B5323">
        <w:rPr>
          <w:rFonts w:ascii="Arial" w:hAnsi="Arial" w:cs="Arial"/>
          <w:szCs w:val="22"/>
        </w:rPr>
        <w:t xml:space="preserve">application </w:t>
      </w:r>
      <w:r w:rsidRPr="006B5323">
        <w:rPr>
          <w:rFonts w:ascii="Arial" w:hAnsi="Arial" w:cs="Arial"/>
          <w:szCs w:val="22"/>
        </w:rPr>
        <w:t xml:space="preserve">should include a list of activities, milestones, </w:t>
      </w:r>
      <w:r w:rsidR="00E910B4" w:rsidRPr="006B5323">
        <w:rPr>
          <w:rFonts w:ascii="Arial" w:hAnsi="Arial" w:cs="Arial"/>
          <w:szCs w:val="22"/>
        </w:rPr>
        <w:t xml:space="preserve">and </w:t>
      </w:r>
      <w:r w:rsidRPr="006B5323">
        <w:rPr>
          <w:rFonts w:ascii="Arial" w:hAnsi="Arial" w:cs="Arial"/>
          <w:szCs w:val="22"/>
        </w:rPr>
        <w:t xml:space="preserve">contributions the </w:t>
      </w:r>
      <w:r w:rsidR="00793257" w:rsidRPr="006B5323">
        <w:rPr>
          <w:rFonts w:ascii="Arial" w:hAnsi="Arial" w:cs="Arial"/>
          <w:szCs w:val="22"/>
        </w:rPr>
        <w:t>grant</w:t>
      </w:r>
      <w:r w:rsidRPr="006B5323">
        <w:rPr>
          <w:rFonts w:ascii="Arial" w:hAnsi="Arial" w:cs="Arial"/>
          <w:szCs w:val="22"/>
        </w:rPr>
        <w:t xml:space="preserve"> will make to the community, and a </w:t>
      </w:r>
      <w:r w:rsidR="000330F1" w:rsidRPr="006B5323">
        <w:rPr>
          <w:rFonts w:ascii="Arial" w:hAnsi="Arial" w:cs="Arial"/>
          <w:szCs w:val="22"/>
        </w:rPr>
        <w:t>project timeline.</w:t>
      </w:r>
      <w:r w:rsidR="004F526D" w:rsidRPr="006B5323">
        <w:rPr>
          <w:rFonts w:ascii="Arial" w:hAnsi="Arial" w:cs="Arial"/>
          <w:szCs w:val="22"/>
        </w:rPr>
        <w:t xml:space="preserve"> </w:t>
      </w:r>
    </w:p>
    <w:p w:rsidR="00123DA5" w:rsidRPr="00840AC6" w:rsidRDefault="000330F1" w:rsidP="007942CF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The application</w:t>
      </w:r>
      <w:r w:rsidR="00123DA5" w:rsidRPr="00840AC6">
        <w:rPr>
          <w:rFonts w:ascii="Arial" w:hAnsi="Arial" w:cs="Arial"/>
          <w:szCs w:val="22"/>
        </w:rPr>
        <w:t xml:space="preserve"> should al</w:t>
      </w:r>
      <w:r w:rsidR="00793257">
        <w:rPr>
          <w:rFonts w:ascii="Arial" w:hAnsi="Arial" w:cs="Arial"/>
          <w:szCs w:val="22"/>
        </w:rPr>
        <w:t>so briefly state how the grant</w:t>
      </w:r>
      <w:r w:rsidR="00123DA5" w:rsidRPr="00840AC6">
        <w:rPr>
          <w:rFonts w:ascii="Arial" w:hAnsi="Arial" w:cs="Arial"/>
          <w:szCs w:val="22"/>
        </w:rPr>
        <w:t xml:space="preserve"> addresses the six components of a</w:t>
      </w:r>
      <w:r w:rsidR="00793257">
        <w:rPr>
          <w:rFonts w:ascii="Arial" w:hAnsi="Arial" w:cs="Arial"/>
          <w:szCs w:val="22"/>
        </w:rPr>
        <w:t xml:space="preserve"> successful partnership (listed </w:t>
      </w:r>
      <w:r w:rsidR="00123DA5" w:rsidRPr="00840AC6">
        <w:rPr>
          <w:rFonts w:ascii="Arial" w:hAnsi="Arial" w:cs="Arial"/>
          <w:szCs w:val="22"/>
        </w:rPr>
        <w:t>below).</w:t>
      </w:r>
    </w:p>
    <w:p w:rsidR="00123DA5" w:rsidRPr="00840AC6" w:rsidRDefault="00123DA5" w:rsidP="007942CF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A defined process for communicating project results with the community partner organization must be outlined in the narrative and address ownership of results.</w:t>
      </w:r>
      <w:r w:rsidR="004F526D" w:rsidRPr="00840AC6">
        <w:rPr>
          <w:rFonts w:ascii="Arial" w:hAnsi="Arial" w:cs="Arial"/>
          <w:szCs w:val="22"/>
        </w:rPr>
        <w:t xml:space="preserve"> </w:t>
      </w:r>
    </w:p>
    <w:p w:rsidR="00B03423" w:rsidRPr="00840AC6" w:rsidRDefault="00B03423" w:rsidP="007942CF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No grants will be awarded to previous recipients who have not fulfilled the terms of the requirements of a previous grant.</w:t>
      </w:r>
    </w:p>
    <w:p w:rsidR="00832DB9" w:rsidRPr="00840AC6" w:rsidRDefault="00311AFC" w:rsidP="00832DB9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A faculty member may submit only one application, and one faculty member should apply for a collaborative group.</w:t>
      </w:r>
    </w:p>
    <w:p w:rsidR="00793257" w:rsidRDefault="00123DA5" w:rsidP="00832DB9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 xml:space="preserve">Proposals must adhere to the Best Practices of University and Community Research Partnerships and IRB guidelines and procedures. </w:t>
      </w:r>
    </w:p>
    <w:p w:rsidR="00123DA5" w:rsidRPr="00840AC6" w:rsidRDefault="00123DA5" w:rsidP="00832DB9">
      <w:pPr>
        <w:numPr>
          <w:ilvl w:val="0"/>
          <w:numId w:val="7"/>
        </w:num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 xml:space="preserve">Faculty co-directors must confirm that they have read and will abide by the </w:t>
      </w:r>
      <w:r w:rsidRPr="00840AC6">
        <w:rPr>
          <w:rFonts w:ascii="Arial" w:hAnsi="Arial" w:cs="Arial"/>
          <w:color w:val="000000"/>
        </w:rPr>
        <w:t>New Brunswick Community-University Research Partnerships Tutorial.</w:t>
      </w:r>
    </w:p>
    <w:p w:rsidR="00123DA5" w:rsidRPr="00840AC6" w:rsidRDefault="00123DA5" w:rsidP="007942CF">
      <w:pPr>
        <w:ind w:right="540"/>
        <w:rPr>
          <w:rFonts w:ascii="Arial" w:hAnsi="Arial" w:cs="Arial"/>
          <w:szCs w:val="22"/>
        </w:rPr>
      </w:pPr>
    </w:p>
    <w:p w:rsidR="00123DA5" w:rsidRDefault="00123DA5" w:rsidP="007942CF">
      <w:pPr>
        <w:ind w:right="540"/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Selection Criteria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793257" w:rsidRDefault="00123DA5" w:rsidP="007942CF">
      <w:p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Evaluation of proposals will be made by the University Engagement Committee</w:t>
      </w:r>
      <w:r w:rsidRPr="00840AC6">
        <w:rPr>
          <w:rFonts w:ascii="Arial" w:hAnsi="Arial" w:cs="Arial"/>
        </w:rPr>
        <w:t>–</w:t>
      </w:r>
      <w:r w:rsidRPr="00840AC6">
        <w:rPr>
          <w:rFonts w:ascii="Arial" w:hAnsi="Arial" w:cs="Arial"/>
          <w:szCs w:val="22"/>
        </w:rPr>
        <w:t>New Brunswick (in consultati</w:t>
      </w:r>
      <w:r w:rsidR="002C4C8C" w:rsidRPr="00840AC6">
        <w:rPr>
          <w:rFonts w:ascii="Arial" w:hAnsi="Arial" w:cs="Arial"/>
          <w:szCs w:val="22"/>
        </w:rPr>
        <w:t xml:space="preserve">on with </w:t>
      </w:r>
      <w:r w:rsidRPr="00840AC6">
        <w:rPr>
          <w:rFonts w:ascii="Arial" w:hAnsi="Arial" w:cs="Arial"/>
          <w:szCs w:val="22"/>
        </w:rPr>
        <w:t>community partners)</w:t>
      </w:r>
      <w:r w:rsidRPr="00840AC6">
        <w:rPr>
          <w:rFonts w:ascii="Arial" w:hAnsi="Arial" w:cs="Arial"/>
          <w:color w:val="FF0000"/>
          <w:szCs w:val="22"/>
        </w:rPr>
        <w:t xml:space="preserve">. </w:t>
      </w:r>
      <w:r w:rsidRPr="00840AC6">
        <w:rPr>
          <w:rFonts w:ascii="Arial" w:hAnsi="Arial" w:cs="Arial"/>
          <w:szCs w:val="22"/>
        </w:rPr>
        <w:t>Proposals should have a direct and demo</w:t>
      </w:r>
      <w:r w:rsidR="00311AFC" w:rsidRPr="00840AC6">
        <w:rPr>
          <w:rFonts w:ascii="Arial" w:hAnsi="Arial" w:cs="Arial"/>
          <w:szCs w:val="22"/>
        </w:rPr>
        <w:t xml:space="preserve">nstrable positive impact on </w:t>
      </w:r>
      <w:r w:rsidRPr="00840AC6">
        <w:rPr>
          <w:rFonts w:ascii="Arial" w:hAnsi="Arial" w:cs="Arial"/>
          <w:szCs w:val="22"/>
        </w:rPr>
        <w:t xml:space="preserve">residents of New Brunswick. </w:t>
      </w:r>
    </w:p>
    <w:p w:rsidR="00793257" w:rsidRDefault="00793257" w:rsidP="007942CF">
      <w:pPr>
        <w:ind w:right="540"/>
        <w:rPr>
          <w:rFonts w:ascii="Arial" w:hAnsi="Arial" w:cs="Arial"/>
          <w:szCs w:val="22"/>
        </w:rPr>
      </w:pPr>
    </w:p>
    <w:p w:rsidR="006A17C1" w:rsidRPr="00840AC6" w:rsidRDefault="006A17C1" w:rsidP="007942CF">
      <w:p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>These grants are designed to foster new progr</w:t>
      </w:r>
      <w:r w:rsidR="004F526D" w:rsidRPr="00840AC6">
        <w:rPr>
          <w:rFonts w:ascii="Arial" w:hAnsi="Arial" w:cs="Arial"/>
          <w:szCs w:val="22"/>
        </w:rPr>
        <w:t>ams, research, and partnerships; h</w:t>
      </w:r>
      <w:r w:rsidRPr="00840AC6">
        <w:rPr>
          <w:rFonts w:ascii="Arial" w:hAnsi="Arial" w:cs="Arial"/>
          <w:szCs w:val="22"/>
        </w:rPr>
        <w:t xml:space="preserve">owever, </w:t>
      </w:r>
      <w:r w:rsidR="00123DA5" w:rsidRPr="00840AC6">
        <w:rPr>
          <w:rFonts w:ascii="Arial" w:hAnsi="Arial" w:cs="Arial"/>
          <w:szCs w:val="22"/>
        </w:rPr>
        <w:t>grant</w:t>
      </w:r>
      <w:r w:rsidRPr="00840AC6">
        <w:rPr>
          <w:rFonts w:ascii="Arial" w:hAnsi="Arial" w:cs="Arial"/>
          <w:szCs w:val="22"/>
        </w:rPr>
        <w:t>s</w:t>
      </w:r>
      <w:r w:rsidR="00123DA5" w:rsidRPr="00840AC6">
        <w:rPr>
          <w:rFonts w:ascii="Arial" w:hAnsi="Arial" w:cs="Arial"/>
          <w:szCs w:val="22"/>
        </w:rPr>
        <w:t xml:space="preserve"> may be awarded to a new facet of an existing program or initiative if it expands or enhances the project</w:t>
      </w:r>
      <w:r w:rsidRPr="00840AC6">
        <w:rPr>
          <w:rFonts w:ascii="Arial" w:hAnsi="Arial" w:cs="Arial"/>
          <w:szCs w:val="22"/>
        </w:rPr>
        <w:t xml:space="preserve"> substantially</w:t>
      </w:r>
      <w:r w:rsidR="00123DA5" w:rsidRPr="00840AC6">
        <w:rPr>
          <w:rFonts w:ascii="Arial" w:hAnsi="Arial" w:cs="Arial"/>
          <w:szCs w:val="22"/>
        </w:rPr>
        <w:t>.</w:t>
      </w:r>
    </w:p>
    <w:p w:rsidR="00123DA5" w:rsidRPr="00840AC6" w:rsidRDefault="00123DA5" w:rsidP="007942CF">
      <w:p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  <w:szCs w:val="22"/>
        </w:rPr>
        <w:t xml:space="preserve"> </w:t>
      </w:r>
    </w:p>
    <w:p w:rsidR="00123DA5" w:rsidRDefault="00123DA5" w:rsidP="007942CF">
      <w:pPr>
        <w:ind w:right="540"/>
        <w:rPr>
          <w:rFonts w:ascii="Arial" w:hAnsi="Arial" w:cs="Arial"/>
          <w:szCs w:val="22"/>
        </w:rPr>
      </w:pPr>
      <w:r w:rsidRPr="00840AC6">
        <w:rPr>
          <w:rFonts w:ascii="Arial" w:hAnsi="Arial" w:cs="Arial"/>
        </w:rPr>
        <w:t>S</w:t>
      </w:r>
      <w:r w:rsidRPr="00840AC6">
        <w:rPr>
          <w:rFonts w:ascii="Arial" w:hAnsi="Arial" w:cs="Arial"/>
          <w:szCs w:val="23"/>
        </w:rPr>
        <w:t>uccessful partnerships</w:t>
      </w:r>
      <w:r w:rsidR="006A17C1" w:rsidRPr="00840AC6">
        <w:rPr>
          <w:rFonts w:ascii="Arial" w:hAnsi="Arial" w:cs="Arial"/>
          <w:szCs w:val="23"/>
        </w:rPr>
        <w:t xml:space="preserve"> are all marked by common characteristics, whether a project is </w:t>
      </w:r>
      <w:r w:rsidRPr="00840AC6">
        <w:rPr>
          <w:rFonts w:ascii="Arial" w:hAnsi="Arial" w:cs="Arial"/>
          <w:szCs w:val="23"/>
        </w:rPr>
        <w:t xml:space="preserve">large or small, simple or complex, </w:t>
      </w:r>
      <w:r w:rsidR="006A17C1" w:rsidRPr="00840AC6">
        <w:rPr>
          <w:rFonts w:ascii="Arial" w:hAnsi="Arial" w:cs="Arial"/>
          <w:szCs w:val="23"/>
        </w:rPr>
        <w:t xml:space="preserve">or </w:t>
      </w:r>
      <w:r w:rsidRPr="00840AC6">
        <w:rPr>
          <w:rFonts w:ascii="Arial" w:hAnsi="Arial" w:cs="Arial"/>
          <w:szCs w:val="23"/>
        </w:rPr>
        <w:t xml:space="preserve">research- </w:t>
      </w:r>
      <w:r w:rsidR="006A17C1" w:rsidRPr="00840AC6">
        <w:rPr>
          <w:rFonts w:ascii="Arial" w:hAnsi="Arial" w:cs="Arial"/>
          <w:szCs w:val="23"/>
        </w:rPr>
        <w:t>or service-based</w:t>
      </w:r>
      <w:r w:rsidRPr="00840AC6">
        <w:rPr>
          <w:rFonts w:ascii="Arial" w:hAnsi="Arial" w:cs="Arial"/>
          <w:szCs w:val="23"/>
        </w:rPr>
        <w:t>.</w:t>
      </w:r>
      <w:r w:rsidRPr="00840AC6">
        <w:rPr>
          <w:rFonts w:ascii="Arial" w:hAnsi="Arial" w:cs="Arial"/>
        </w:rPr>
        <w:t xml:space="preserve"> </w:t>
      </w:r>
      <w:r w:rsidRPr="00840AC6">
        <w:rPr>
          <w:rFonts w:ascii="Arial" w:hAnsi="Arial" w:cs="Arial"/>
          <w:szCs w:val="22"/>
        </w:rPr>
        <w:t>Successful proposals will embrace the following:</w:t>
      </w:r>
    </w:p>
    <w:p w:rsidR="00793257" w:rsidRPr="00840AC6" w:rsidRDefault="00793257" w:rsidP="007942CF">
      <w:pPr>
        <w:ind w:right="540"/>
        <w:rPr>
          <w:rFonts w:ascii="Arial" w:hAnsi="Arial" w:cs="Arial"/>
        </w:rPr>
      </w:pPr>
    </w:p>
    <w:p w:rsidR="00123DA5" w:rsidRPr="00840AC6" w:rsidRDefault="00123DA5" w:rsidP="00875147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  <w:szCs w:val="23"/>
        </w:rPr>
        <w:t xml:space="preserve">1. </w:t>
      </w:r>
      <w:r w:rsidR="00875147">
        <w:rPr>
          <w:rFonts w:ascii="Arial" w:hAnsi="Arial" w:cs="Arial"/>
          <w:b/>
          <w:szCs w:val="23"/>
        </w:rPr>
        <w:tab/>
      </w:r>
      <w:r w:rsidRPr="00840AC6">
        <w:rPr>
          <w:rFonts w:ascii="Arial" w:hAnsi="Arial" w:cs="Arial"/>
          <w:b/>
          <w:szCs w:val="23"/>
        </w:rPr>
        <w:t xml:space="preserve">Mutual respect and trust </w:t>
      </w:r>
      <w:r w:rsidRPr="00840AC6">
        <w:rPr>
          <w:rFonts w:ascii="Arial" w:hAnsi="Arial" w:cs="Arial"/>
          <w:szCs w:val="23"/>
        </w:rPr>
        <w:t>grow from the</w:t>
      </w:r>
      <w:r w:rsidRPr="00840AC6">
        <w:rPr>
          <w:rFonts w:ascii="Arial" w:hAnsi="Arial" w:cs="Arial"/>
          <w:b/>
          <w:szCs w:val="23"/>
        </w:rPr>
        <w:t xml:space="preserve"> </w:t>
      </w:r>
      <w:r w:rsidRPr="00840AC6">
        <w:rPr>
          <w:rFonts w:ascii="Arial" w:hAnsi="Arial" w:cs="Arial"/>
          <w:szCs w:val="23"/>
        </w:rPr>
        <w:t>belief that each party brings valuable assets to the collaboration and values the other</w:t>
      </w:r>
      <w:r w:rsidR="006A17C1" w:rsidRPr="00840AC6">
        <w:rPr>
          <w:rFonts w:ascii="Arial" w:hAnsi="Arial" w:cs="Arial"/>
          <w:szCs w:val="23"/>
        </w:rPr>
        <w:t>’s</w:t>
      </w:r>
      <w:r w:rsidRPr="00840AC6">
        <w:rPr>
          <w:rFonts w:ascii="Arial" w:hAnsi="Arial" w:cs="Arial"/>
          <w:szCs w:val="23"/>
        </w:rPr>
        <w:t xml:space="preserve"> interests as equal to its own. </w:t>
      </w:r>
    </w:p>
    <w:p w:rsidR="00123DA5" w:rsidRPr="00840AC6" w:rsidRDefault="00123DA5" w:rsidP="00875147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2. </w:t>
      </w:r>
      <w:r w:rsidR="00875147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Clear communication </w:t>
      </w:r>
      <w:r w:rsidRPr="00840AC6">
        <w:rPr>
          <w:rFonts w:ascii="Arial" w:hAnsi="Arial" w:cs="Arial"/>
        </w:rPr>
        <w:t>incorporates both effective practices and meaningful discourse to bridge differences in language, culture, and tradition as well as address the unique organizational constraints and capabilities of each partner.</w:t>
      </w:r>
      <w:r w:rsidR="004F526D" w:rsidRPr="00840AC6">
        <w:rPr>
          <w:rFonts w:ascii="Arial" w:hAnsi="Arial" w:cs="Arial"/>
        </w:rPr>
        <w:t xml:space="preserve"> </w:t>
      </w:r>
    </w:p>
    <w:p w:rsidR="00123DA5" w:rsidRPr="00840AC6" w:rsidRDefault="00123DA5" w:rsidP="00875147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3. </w:t>
      </w:r>
      <w:r w:rsidR="00875147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Flexibility </w:t>
      </w:r>
      <w:r w:rsidRPr="00840AC6">
        <w:rPr>
          <w:rFonts w:ascii="Arial" w:hAnsi="Arial" w:cs="Arial"/>
        </w:rPr>
        <w:t xml:space="preserve">allows partners to manage unexpected changes while remaining focused on achieving the project’s goals. </w:t>
      </w:r>
    </w:p>
    <w:p w:rsidR="00123DA5" w:rsidRPr="00840AC6" w:rsidRDefault="00123DA5" w:rsidP="00875147">
      <w:pPr>
        <w:ind w:left="720" w:right="540" w:hanging="360"/>
        <w:rPr>
          <w:rFonts w:ascii="Arial" w:hAnsi="Arial" w:cs="Arial"/>
          <w:szCs w:val="23"/>
        </w:rPr>
      </w:pPr>
      <w:r w:rsidRPr="00840AC6">
        <w:rPr>
          <w:rFonts w:ascii="Arial" w:hAnsi="Arial" w:cs="Arial"/>
          <w:b/>
        </w:rPr>
        <w:lastRenderedPageBreak/>
        <w:t xml:space="preserve">4. </w:t>
      </w:r>
      <w:r w:rsidR="00875147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Cultural understanding </w:t>
      </w:r>
      <w:r w:rsidRPr="00840AC6">
        <w:rPr>
          <w:rFonts w:ascii="Arial" w:hAnsi="Arial" w:cs="Arial"/>
        </w:rPr>
        <w:t>extends to an appreciation that community organizations differ from each other—and from academia—in fundamental ways, from goals and values to timelines and staffing</w:t>
      </w:r>
      <w:r w:rsidRPr="00840AC6">
        <w:rPr>
          <w:rFonts w:ascii="Arial" w:hAnsi="Arial" w:cs="Arial"/>
          <w:szCs w:val="23"/>
        </w:rPr>
        <w:t>.</w:t>
      </w:r>
    </w:p>
    <w:p w:rsidR="00123DA5" w:rsidRPr="00840AC6" w:rsidRDefault="00123DA5" w:rsidP="00875147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  <w:szCs w:val="23"/>
        </w:rPr>
        <w:t xml:space="preserve">5. </w:t>
      </w:r>
      <w:r w:rsidR="00875147">
        <w:rPr>
          <w:rFonts w:ascii="Arial" w:hAnsi="Arial" w:cs="Arial"/>
          <w:b/>
          <w:szCs w:val="23"/>
        </w:rPr>
        <w:tab/>
      </w:r>
      <w:r w:rsidRPr="00840AC6">
        <w:rPr>
          <w:rFonts w:ascii="Arial" w:hAnsi="Arial" w:cs="Arial"/>
          <w:b/>
          <w:szCs w:val="23"/>
        </w:rPr>
        <w:t xml:space="preserve">Shared authority </w:t>
      </w:r>
      <w:r w:rsidRPr="00840AC6">
        <w:rPr>
          <w:rFonts w:ascii="Arial" w:hAnsi="Arial" w:cs="Arial"/>
          <w:szCs w:val="23"/>
        </w:rPr>
        <w:t>for assigning roles and responsibilities</w:t>
      </w:r>
      <w:r w:rsidRPr="00840AC6">
        <w:rPr>
          <w:rFonts w:ascii="Arial" w:hAnsi="Arial" w:cs="Arial"/>
          <w:b/>
          <w:szCs w:val="23"/>
        </w:rPr>
        <w:t xml:space="preserve"> </w:t>
      </w:r>
      <w:r w:rsidRPr="00840AC6">
        <w:rPr>
          <w:rFonts w:ascii="Arial" w:hAnsi="Arial" w:cs="Arial"/>
          <w:szCs w:val="23"/>
        </w:rPr>
        <w:t xml:space="preserve">allows all partners to feel comfortable deferring to others in support of the wider goals of the project. </w:t>
      </w:r>
    </w:p>
    <w:p w:rsidR="00123DA5" w:rsidRDefault="00123DA5" w:rsidP="00875147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6. </w:t>
      </w:r>
      <w:r w:rsidR="00875147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>Reciprocity</w:t>
      </w:r>
      <w:r w:rsidR="006A17C1" w:rsidRPr="00840AC6">
        <w:rPr>
          <w:rFonts w:ascii="Arial" w:hAnsi="Arial" w:cs="Arial"/>
        </w:rPr>
        <w:t>—values</w:t>
      </w:r>
      <w:r w:rsidRPr="00840AC6">
        <w:rPr>
          <w:rFonts w:ascii="Arial" w:hAnsi="Arial" w:cs="Arial"/>
        </w:rPr>
        <w:t xml:space="preserve"> the goals of both the community (positive change) and the un</w:t>
      </w:r>
      <w:r w:rsidR="006A17C1" w:rsidRPr="00840AC6">
        <w:rPr>
          <w:rFonts w:ascii="Arial" w:hAnsi="Arial" w:cs="Arial"/>
        </w:rPr>
        <w:t>iversity (new knowledge)—ensuring</w:t>
      </w:r>
      <w:r w:rsidRPr="00840AC6">
        <w:rPr>
          <w:rFonts w:ascii="Arial" w:hAnsi="Arial" w:cs="Arial"/>
        </w:rPr>
        <w:t xml:space="preserve"> that all partners are equally invested. </w:t>
      </w:r>
    </w:p>
    <w:p w:rsidR="005B3792" w:rsidRPr="00840AC6" w:rsidRDefault="005B3792" w:rsidP="007942CF">
      <w:pPr>
        <w:ind w:left="720" w:right="540"/>
        <w:rPr>
          <w:rFonts w:ascii="Arial" w:hAnsi="Arial" w:cs="Arial"/>
        </w:rPr>
      </w:pPr>
    </w:p>
    <w:p w:rsidR="005B3792" w:rsidRPr="005B3792" w:rsidRDefault="005B3792" w:rsidP="007942CF">
      <w:pPr>
        <w:ind w:right="540"/>
        <w:rPr>
          <w:rFonts w:ascii="Arial" w:hAnsi="Arial" w:cs="Arial"/>
          <w:b/>
        </w:rPr>
      </w:pPr>
      <w:r w:rsidRPr="005B3792">
        <w:rPr>
          <w:rFonts w:ascii="Arial" w:hAnsi="Arial" w:cs="Arial"/>
          <w:b/>
        </w:rPr>
        <w:t>Best Practices</w:t>
      </w:r>
    </w:p>
    <w:p w:rsidR="005B3792" w:rsidRDefault="005B3792" w:rsidP="007942CF">
      <w:pPr>
        <w:ind w:right="540"/>
        <w:rPr>
          <w:rFonts w:ascii="Arial" w:hAnsi="Arial" w:cs="Arial"/>
        </w:rPr>
      </w:pPr>
    </w:p>
    <w:p w:rsidR="00123DA5" w:rsidRDefault="00123DA5" w:rsidP="007942CF">
      <w:pPr>
        <w:ind w:right="540"/>
        <w:rPr>
          <w:rFonts w:ascii="Arial" w:hAnsi="Arial" w:cs="Arial"/>
        </w:rPr>
      </w:pPr>
      <w:r w:rsidRPr="00840AC6">
        <w:rPr>
          <w:rFonts w:ascii="Arial" w:hAnsi="Arial" w:cs="Arial"/>
        </w:rPr>
        <w:t>The most effective partnerships incorporate practices that are known to support success and avoid problems. Best practices include</w:t>
      </w:r>
      <w:r w:rsidR="006A17C1" w:rsidRPr="00840AC6">
        <w:rPr>
          <w:rFonts w:ascii="Arial" w:hAnsi="Arial" w:cs="Arial"/>
        </w:rPr>
        <w:t xml:space="preserve"> the following</w:t>
      </w:r>
      <w:r w:rsidRPr="00840AC6">
        <w:rPr>
          <w:rFonts w:ascii="Arial" w:hAnsi="Arial" w:cs="Arial"/>
        </w:rPr>
        <w:t>:</w:t>
      </w:r>
    </w:p>
    <w:p w:rsidR="005B3792" w:rsidRPr="00840AC6" w:rsidRDefault="005B3792" w:rsidP="007942CF">
      <w:pPr>
        <w:ind w:right="540"/>
        <w:rPr>
          <w:rFonts w:ascii="Arial" w:hAnsi="Arial" w:cs="Arial"/>
        </w:rPr>
      </w:pPr>
    </w:p>
    <w:p w:rsidR="00123DA5" w:rsidRPr="00840AC6" w:rsidRDefault="00123DA5" w:rsidP="005B3C2F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1. </w:t>
      </w:r>
      <w:r w:rsidR="005B3C2F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Establishing mutually agreed </w:t>
      </w:r>
      <w:r w:rsidR="006A17C1" w:rsidRPr="00840AC6">
        <w:rPr>
          <w:rFonts w:ascii="Arial" w:hAnsi="Arial" w:cs="Arial"/>
          <w:b/>
        </w:rPr>
        <w:t xml:space="preserve">upon </w:t>
      </w:r>
      <w:r w:rsidRPr="00840AC6">
        <w:rPr>
          <w:rFonts w:ascii="Arial" w:hAnsi="Arial" w:cs="Arial"/>
          <w:b/>
        </w:rPr>
        <w:t xml:space="preserve">goals and strategies </w:t>
      </w:r>
      <w:r w:rsidRPr="00840AC6">
        <w:rPr>
          <w:rFonts w:ascii="Arial" w:hAnsi="Arial" w:cs="Arial"/>
        </w:rPr>
        <w:t>for achieving the purpose of the research and fulfilling the needs of each partner.</w:t>
      </w:r>
    </w:p>
    <w:p w:rsidR="00123DA5" w:rsidRPr="00840AC6" w:rsidRDefault="00123DA5" w:rsidP="005B3C2F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2. </w:t>
      </w:r>
      <w:r w:rsidR="005B3C2F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Creating effective communication structures </w:t>
      </w:r>
      <w:r w:rsidRPr="00840AC6">
        <w:rPr>
          <w:rFonts w:ascii="Arial" w:hAnsi="Arial" w:cs="Arial"/>
          <w:szCs w:val="23"/>
        </w:rPr>
        <w:t>that express clear expectations, recognize progress, and allow constructive feedback</w:t>
      </w:r>
      <w:r w:rsidRPr="00840AC6">
        <w:rPr>
          <w:rFonts w:ascii="Arial" w:hAnsi="Arial" w:cs="Arial"/>
        </w:rPr>
        <w:t xml:space="preserve">. </w:t>
      </w:r>
    </w:p>
    <w:p w:rsidR="00123DA5" w:rsidRPr="00840AC6" w:rsidRDefault="00123DA5" w:rsidP="005B3C2F">
      <w:pPr>
        <w:ind w:left="720" w:right="540" w:hanging="360"/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3. </w:t>
      </w:r>
      <w:r w:rsidR="005B3C2F">
        <w:rPr>
          <w:rFonts w:ascii="Arial" w:hAnsi="Arial" w:cs="Arial"/>
          <w:b/>
        </w:rPr>
        <w:tab/>
      </w:r>
      <w:r w:rsidRPr="00840AC6">
        <w:rPr>
          <w:rFonts w:ascii="Arial" w:hAnsi="Arial" w:cs="Arial"/>
          <w:b/>
        </w:rPr>
        <w:t xml:space="preserve">Defining roles, responsibilities, and expectations </w:t>
      </w:r>
      <w:r w:rsidRPr="00840AC6">
        <w:rPr>
          <w:rFonts w:ascii="Arial" w:hAnsi="Arial" w:cs="Arial"/>
        </w:rPr>
        <w:t>and documenting them in a</w:t>
      </w:r>
      <w:r w:rsidRPr="00840AC6">
        <w:rPr>
          <w:rFonts w:ascii="Arial" w:hAnsi="Arial" w:cs="Arial"/>
          <w:b/>
        </w:rPr>
        <w:t xml:space="preserve"> </w:t>
      </w:r>
      <w:r w:rsidRPr="00840AC6">
        <w:rPr>
          <w:rFonts w:ascii="Arial" w:hAnsi="Arial" w:cs="Arial"/>
        </w:rPr>
        <w:t>written agreement appropriate to the size and scope of the project.</w:t>
      </w:r>
      <w:r w:rsidR="004F526D" w:rsidRPr="00840AC6">
        <w:rPr>
          <w:rFonts w:ascii="Arial" w:hAnsi="Arial" w:cs="Arial"/>
        </w:rPr>
        <w:t xml:space="preserve"> </w:t>
      </w:r>
    </w:p>
    <w:p w:rsidR="00123DA5" w:rsidRPr="00840AC6" w:rsidRDefault="00123DA5" w:rsidP="005B3C2F">
      <w:pPr>
        <w:ind w:left="720" w:right="540" w:hanging="360"/>
        <w:rPr>
          <w:rFonts w:ascii="Arial" w:hAnsi="Arial" w:cs="Arial"/>
          <w:szCs w:val="23"/>
        </w:rPr>
      </w:pPr>
      <w:r w:rsidRPr="00840AC6">
        <w:rPr>
          <w:rFonts w:ascii="Arial" w:hAnsi="Arial" w:cs="Arial"/>
          <w:b/>
          <w:szCs w:val="23"/>
        </w:rPr>
        <w:t>4.</w:t>
      </w:r>
      <w:r w:rsidR="005B3C2F">
        <w:rPr>
          <w:rFonts w:ascii="Arial" w:hAnsi="Arial" w:cs="Arial"/>
          <w:b/>
          <w:szCs w:val="23"/>
        </w:rPr>
        <w:tab/>
      </w:r>
      <w:r w:rsidRPr="00840AC6">
        <w:rPr>
          <w:rFonts w:ascii="Arial" w:hAnsi="Arial" w:cs="Arial"/>
          <w:b/>
          <w:szCs w:val="23"/>
        </w:rPr>
        <w:t xml:space="preserve">Establishing agreement on the disposition of data, </w:t>
      </w:r>
      <w:r w:rsidRPr="00840AC6">
        <w:rPr>
          <w:rFonts w:ascii="Arial" w:hAnsi="Arial" w:cs="Arial"/>
          <w:szCs w:val="23"/>
        </w:rPr>
        <w:t>including its ownership, interpretation, and dissemination.</w:t>
      </w:r>
    </w:p>
    <w:p w:rsidR="00123DA5" w:rsidRPr="00840AC6" w:rsidRDefault="00123DA5" w:rsidP="005B3C2F">
      <w:pPr>
        <w:ind w:left="720" w:right="540" w:hanging="360"/>
        <w:rPr>
          <w:rFonts w:ascii="Arial" w:hAnsi="Arial" w:cs="Arial"/>
          <w:szCs w:val="23"/>
        </w:rPr>
      </w:pPr>
      <w:r w:rsidRPr="00840AC6">
        <w:rPr>
          <w:rFonts w:ascii="Arial" w:hAnsi="Arial" w:cs="Arial"/>
          <w:b/>
          <w:szCs w:val="23"/>
        </w:rPr>
        <w:t xml:space="preserve">5. </w:t>
      </w:r>
      <w:r w:rsidR="005B3C2F">
        <w:rPr>
          <w:rFonts w:ascii="Arial" w:hAnsi="Arial" w:cs="Arial"/>
          <w:b/>
          <w:szCs w:val="23"/>
        </w:rPr>
        <w:tab/>
      </w:r>
      <w:r w:rsidRPr="00840AC6">
        <w:rPr>
          <w:rFonts w:ascii="Arial" w:hAnsi="Arial" w:cs="Arial"/>
          <w:b/>
          <w:szCs w:val="23"/>
        </w:rPr>
        <w:t xml:space="preserve">Developing a plan for reporting research findings </w:t>
      </w:r>
      <w:r w:rsidRPr="00840AC6">
        <w:rPr>
          <w:rFonts w:ascii="Arial" w:hAnsi="Arial" w:cs="Arial"/>
          <w:szCs w:val="23"/>
        </w:rPr>
        <w:t>that is agreeable to all partners, especially when those findings might be sensitive for the community.</w:t>
      </w:r>
      <w:r w:rsidR="004F526D" w:rsidRPr="00840AC6">
        <w:rPr>
          <w:rFonts w:ascii="Arial" w:hAnsi="Arial" w:cs="Arial"/>
          <w:szCs w:val="23"/>
        </w:rPr>
        <w:t xml:space="preserve"> </w:t>
      </w:r>
    </w:p>
    <w:p w:rsidR="00C821E4" w:rsidRPr="00840AC6" w:rsidRDefault="00C821E4" w:rsidP="007942CF">
      <w:pPr>
        <w:ind w:right="540"/>
        <w:rPr>
          <w:rFonts w:ascii="Arial" w:hAnsi="Arial" w:cs="Arial"/>
          <w:b/>
          <w:szCs w:val="22"/>
        </w:rPr>
      </w:pPr>
    </w:p>
    <w:p w:rsidR="00123DA5" w:rsidRDefault="00123DA5" w:rsidP="007942CF">
      <w:pPr>
        <w:ind w:right="540"/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>Report</w:t>
      </w:r>
      <w:r w:rsidR="00362EC8" w:rsidRPr="00840AC6">
        <w:rPr>
          <w:rFonts w:ascii="Arial" w:hAnsi="Arial" w:cs="Arial"/>
          <w:b/>
          <w:szCs w:val="22"/>
        </w:rPr>
        <w:t>s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362EC8" w:rsidRPr="00840AC6" w:rsidRDefault="00123DA5" w:rsidP="007942CF">
      <w:pPr>
        <w:ind w:right="540"/>
        <w:rPr>
          <w:rFonts w:ascii="Arial" w:hAnsi="Arial" w:cs="Arial"/>
          <w:color w:val="000000"/>
          <w:szCs w:val="22"/>
        </w:rPr>
      </w:pPr>
      <w:r w:rsidRPr="00840AC6">
        <w:rPr>
          <w:rFonts w:ascii="Arial" w:hAnsi="Arial" w:cs="Arial"/>
          <w:szCs w:val="22"/>
        </w:rPr>
        <w:t>Grant recipients must sub</w:t>
      </w:r>
      <w:r w:rsidR="00186E3C" w:rsidRPr="00840AC6">
        <w:rPr>
          <w:rFonts w:ascii="Arial" w:hAnsi="Arial" w:cs="Arial"/>
          <w:szCs w:val="22"/>
        </w:rPr>
        <w:t xml:space="preserve">mit a </w:t>
      </w:r>
      <w:r w:rsidR="00362EC8" w:rsidRPr="00840AC6">
        <w:rPr>
          <w:rFonts w:ascii="Arial" w:hAnsi="Arial" w:cs="Arial"/>
          <w:szCs w:val="22"/>
        </w:rPr>
        <w:t>mi</w:t>
      </w:r>
      <w:r w:rsidR="005D4FFB" w:rsidRPr="00840AC6">
        <w:rPr>
          <w:rFonts w:ascii="Arial" w:hAnsi="Arial" w:cs="Arial"/>
          <w:szCs w:val="22"/>
        </w:rPr>
        <w:t>d-year update by January 2, 201</w:t>
      </w:r>
      <w:r w:rsidR="00374504">
        <w:rPr>
          <w:rFonts w:ascii="Arial" w:hAnsi="Arial" w:cs="Arial"/>
          <w:szCs w:val="22"/>
        </w:rPr>
        <w:t xml:space="preserve">9. </w:t>
      </w:r>
      <w:r w:rsidR="00362EC8" w:rsidRPr="00840AC6">
        <w:rPr>
          <w:rFonts w:ascii="Arial" w:hAnsi="Arial" w:cs="Arial"/>
          <w:szCs w:val="22"/>
        </w:rPr>
        <w:t xml:space="preserve">Mid-year reports should be no longer than one page and </w:t>
      </w:r>
      <w:r w:rsidR="00311AFC" w:rsidRPr="00840AC6">
        <w:rPr>
          <w:rFonts w:ascii="Arial" w:hAnsi="Arial" w:cs="Arial"/>
          <w:szCs w:val="22"/>
        </w:rPr>
        <w:t xml:space="preserve">include </w:t>
      </w:r>
      <w:r w:rsidR="00362EC8" w:rsidRPr="00840AC6">
        <w:rPr>
          <w:rFonts w:ascii="Arial" w:hAnsi="Arial" w:cs="Arial"/>
          <w:szCs w:val="22"/>
        </w:rPr>
        <w:t>a</w:t>
      </w:r>
      <w:r w:rsidR="00514197" w:rsidRPr="00840AC6">
        <w:rPr>
          <w:rFonts w:ascii="Arial" w:hAnsi="Arial" w:cs="Arial"/>
          <w:color w:val="000000"/>
          <w:szCs w:val="22"/>
        </w:rPr>
        <w:t xml:space="preserve"> project status including </w:t>
      </w:r>
      <w:r w:rsidR="00362EC8" w:rsidRPr="00840AC6">
        <w:rPr>
          <w:rFonts w:ascii="Arial" w:hAnsi="Arial" w:cs="Arial"/>
          <w:color w:val="000000"/>
          <w:szCs w:val="22"/>
        </w:rPr>
        <w:t>activities, meetings, milestones</w:t>
      </w:r>
      <w:r w:rsidR="00514197" w:rsidRPr="00840AC6">
        <w:rPr>
          <w:rFonts w:ascii="Arial" w:hAnsi="Arial" w:cs="Arial"/>
          <w:color w:val="000000"/>
          <w:szCs w:val="22"/>
        </w:rPr>
        <w:t>, and</w:t>
      </w:r>
      <w:r w:rsidR="00362EC8" w:rsidRPr="00840AC6">
        <w:rPr>
          <w:rFonts w:ascii="Arial" w:hAnsi="Arial" w:cs="Arial"/>
          <w:color w:val="000000"/>
          <w:szCs w:val="22"/>
        </w:rPr>
        <w:t xml:space="preserve"> concerns. </w:t>
      </w:r>
    </w:p>
    <w:p w:rsidR="00362EC8" w:rsidRPr="00840AC6" w:rsidRDefault="00362EC8" w:rsidP="007942CF">
      <w:pPr>
        <w:ind w:right="540"/>
        <w:rPr>
          <w:rFonts w:ascii="Arial" w:hAnsi="Arial" w:cs="Arial"/>
          <w:color w:val="000000"/>
          <w:szCs w:val="22"/>
        </w:rPr>
      </w:pPr>
    </w:p>
    <w:p w:rsidR="00123DA5" w:rsidRPr="00840AC6" w:rsidRDefault="0028425F" w:rsidP="007942CF">
      <w:pPr>
        <w:ind w:right="5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Pr="0028425F">
        <w:rPr>
          <w:rFonts w:ascii="Arial" w:hAnsi="Arial" w:cs="Arial"/>
          <w:szCs w:val="22"/>
        </w:rPr>
        <w:t xml:space="preserve">final report </w:t>
      </w:r>
      <w:r>
        <w:rPr>
          <w:rFonts w:ascii="Arial" w:hAnsi="Arial" w:cs="Arial"/>
          <w:szCs w:val="22"/>
        </w:rPr>
        <w:t xml:space="preserve">must be submitted </w:t>
      </w:r>
      <w:r w:rsidR="00374504">
        <w:rPr>
          <w:rFonts w:ascii="Arial" w:hAnsi="Arial" w:cs="Arial"/>
          <w:szCs w:val="22"/>
        </w:rPr>
        <w:t>by September 1, 2019</w:t>
      </w:r>
      <w:r w:rsidRPr="0028425F">
        <w:rPr>
          <w:rFonts w:ascii="Arial" w:hAnsi="Arial" w:cs="Arial"/>
          <w:szCs w:val="22"/>
        </w:rPr>
        <w:t xml:space="preserve">. </w:t>
      </w:r>
      <w:r w:rsidR="00123DA5" w:rsidRPr="00840AC6">
        <w:rPr>
          <w:rFonts w:ascii="Arial" w:hAnsi="Arial" w:cs="Arial"/>
          <w:szCs w:val="22"/>
        </w:rPr>
        <w:t xml:space="preserve">Final reports should contain clear statements about </w:t>
      </w:r>
      <w:r w:rsidR="00A63454" w:rsidRPr="00840AC6">
        <w:rPr>
          <w:rFonts w:ascii="Arial" w:hAnsi="Arial" w:cs="Arial"/>
          <w:szCs w:val="22"/>
        </w:rPr>
        <w:t xml:space="preserve">research </w:t>
      </w:r>
      <w:r w:rsidR="00123DA5" w:rsidRPr="00840AC6">
        <w:rPr>
          <w:rFonts w:ascii="Arial" w:hAnsi="Arial" w:cs="Arial"/>
          <w:szCs w:val="22"/>
        </w:rPr>
        <w:t xml:space="preserve">accomplishments, active outcomes, </w:t>
      </w:r>
      <w:r w:rsidR="00311AFC" w:rsidRPr="00840AC6">
        <w:rPr>
          <w:rFonts w:ascii="Arial" w:hAnsi="Arial" w:cs="Arial"/>
          <w:szCs w:val="22"/>
        </w:rPr>
        <w:t xml:space="preserve">contributions to the community </w:t>
      </w:r>
      <w:r w:rsidR="00123DA5" w:rsidRPr="00840AC6">
        <w:rPr>
          <w:rFonts w:ascii="Arial" w:hAnsi="Arial" w:cs="Arial"/>
          <w:szCs w:val="22"/>
        </w:rPr>
        <w:t>and constituencies served</w:t>
      </w:r>
      <w:r w:rsidR="00A63454" w:rsidRPr="00840AC6">
        <w:rPr>
          <w:rFonts w:ascii="Arial" w:hAnsi="Arial" w:cs="Arial"/>
          <w:szCs w:val="22"/>
        </w:rPr>
        <w:t xml:space="preserve">, </w:t>
      </w:r>
      <w:r w:rsidR="005B3792">
        <w:rPr>
          <w:rFonts w:ascii="Arial" w:hAnsi="Arial" w:cs="Arial"/>
          <w:szCs w:val="22"/>
        </w:rPr>
        <w:t>research publication plans, and</w:t>
      </w:r>
      <w:r w:rsidR="00E910B4" w:rsidRPr="00840AC6">
        <w:rPr>
          <w:rFonts w:ascii="Arial" w:hAnsi="Arial" w:cs="Arial"/>
          <w:szCs w:val="22"/>
        </w:rPr>
        <w:t xml:space="preserve"> a </w:t>
      </w:r>
      <w:r w:rsidR="00A63454" w:rsidRPr="00840AC6">
        <w:rPr>
          <w:rFonts w:ascii="Arial" w:hAnsi="Arial" w:cs="Arial"/>
          <w:szCs w:val="22"/>
        </w:rPr>
        <w:t>complete b</w:t>
      </w:r>
      <w:r w:rsidR="00362EC8" w:rsidRPr="00840AC6">
        <w:rPr>
          <w:rFonts w:ascii="Arial" w:hAnsi="Arial" w:cs="Arial"/>
          <w:szCs w:val="22"/>
        </w:rPr>
        <w:t>udget accounting. Final r</w:t>
      </w:r>
      <w:r w:rsidR="002C4C8C" w:rsidRPr="00840AC6">
        <w:rPr>
          <w:rFonts w:ascii="Arial" w:hAnsi="Arial" w:cs="Arial"/>
          <w:szCs w:val="22"/>
        </w:rPr>
        <w:t>eports may</w:t>
      </w:r>
      <w:r w:rsidR="00E910B4" w:rsidRPr="00840AC6">
        <w:rPr>
          <w:rFonts w:ascii="Arial" w:hAnsi="Arial" w:cs="Arial"/>
          <w:szCs w:val="22"/>
        </w:rPr>
        <w:t xml:space="preserve"> be no more than four pages in</w:t>
      </w:r>
      <w:r w:rsidR="00362EC8" w:rsidRPr="00840AC6">
        <w:rPr>
          <w:rFonts w:ascii="Arial" w:hAnsi="Arial" w:cs="Arial"/>
          <w:szCs w:val="22"/>
        </w:rPr>
        <w:t xml:space="preserve"> Times New Roman</w:t>
      </w:r>
      <w:r w:rsidR="00E910B4" w:rsidRPr="00840AC6">
        <w:rPr>
          <w:rFonts w:ascii="Arial" w:hAnsi="Arial" w:cs="Arial"/>
          <w:szCs w:val="22"/>
        </w:rPr>
        <w:t xml:space="preserve"> font, at</w:t>
      </w:r>
      <w:r w:rsidR="00362EC8" w:rsidRPr="00840AC6">
        <w:rPr>
          <w:rFonts w:ascii="Arial" w:hAnsi="Arial" w:cs="Arial"/>
          <w:szCs w:val="22"/>
        </w:rPr>
        <w:t xml:space="preserve"> 11</w:t>
      </w:r>
      <w:r w:rsidR="000A6791" w:rsidRPr="00840AC6">
        <w:rPr>
          <w:rFonts w:ascii="Arial" w:hAnsi="Arial" w:cs="Arial"/>
          <w:szCs w:val="22"/>
        </w:rPr>
        <w:t xml:space="preserve"> pt. </w:t>
      </w:r>
      <w:r w:rsidR="00E910B4" w:rsidRPr="00840AC6">
        <w:rPr>
          <w:rFonts w:ascii="Arial" w:hAnsi="Arial" w:cs="Arial"/>
          <w:szCs w:val="22"/>
        </w:rPr>
        <w:t xml:space="preserve">size </w:t>
      </w:r>
      <w:r w:rsidR="000A6791" w:rsidRPr="00840AC6">
        <w:rPr>
          <w:rFonts w:ascii="Arial" w:hAnsi="Arial" w:cs="Arial"/>
          <w:szCs w:val="22"/>
        </w:rPr>
        <w:t>or greater.</w:t>
      </w:r>
      <w:r w:rsidR="00A63454" w:rsidRPr="00840AC6">
        <w:rPr>
          <w:rFonts w:ascii="Arial" w:hAnsi="Arial" w:cs="Arial"/>
          <w:szCs w:val="22"/>
        </w:rPr>
        <w:t xml:space="preserve"> </w:t>
      </w:r>
    </w:p>
    <w:p w:rsidR="00123DA5" w:rsidRPr="00840AC6" w:rsidRDefault="00123DA5" w:rsidP="007942CF">
      <w:pPr>
        <w:ind w:right="540"/>
        <w:rPr>
          <w:rFonts w:ascii="Arial" w:hAnsi="Arial" w:cs="Arial"/>
          <w:b/>
          <w:szCs w:val="22"/>
        </w:rPr>
      </w:pPr>
    </w:p>
    <w:p w:rsidR="00123DA5" w:rsidRDefault="00123DA5" w:rsidP="007942CF">
      <w:pPr>
        <w:ind w:right="540"/>
        <w:rPr>
          <w:rFonts w:ascii="Arial" w:hAnsi="Arial" w:cs="Arial"/>
          <w:b/>
          <w:szCs w:val="22"/>
        </w:rPr>
      </w:pPr>
      <w:r w:rsidRPr="00840AC6">
        <w:rPr>
          <w:rFonts w:ascii="Arial" w:hAnsi="Arial" w:cs="Arial"/>
          <w:b/>
          <w:szCs w:val="22"/>
        </w:rPr>
        <w:t xml:space="preserve">Budget Guidelines </w:t>
      </w:r>
    </w:p>
    <w:p w:rsidR="005B3792" w:rsidRPr="00840AC6" w:rsidRDefault="005B3792" w:rsidP="007942CF">
      <w:pPr>
        <w:ind w:right="540"/>
        <w:rPr>
          <w:rFonts w:ascii="Arial" w:hAnsi="Arial" w:cs="Arial"/>
          <w:b/>
          <w:szCs w:val="22"/>
        </w:rPr>
      </w:pPr>
    </w:p>
    <w:p w:rsidR="00123DA5" w:rsidRPr="00840AC6" w:rsidRDefault="00123DA5" w:rsidP="007942CF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t>Budgetary oversight and control will reside with your collegiate department or appropriate dean’s office.</w:t>
      </w:r>
      <w:r w:rsidR="004F526D" w:rsidRPr="00840AC6">
        <w:rPr>
          <w:rFonts w:ascii="Arial" w:hAnsi="Arial" w:cs="Arial"/>
          <w:sz w:val="22"/>
          <w:szCs w:val="22"/>
        </w:rPr>
        <w:t xml:space="preserve"> </w:t>
      </w:r>
      <w:r w:rsidRPr="00840AC6">
        <w:rPr>
          <w:rFonts w:ascii="Arial" w:hAnsi="Arial" w:cs="Arial"/>
          <w:sz w:val="22"/>
          <w:szCs w:val="22"/>
        </w:rPr>
        <w:t>Consult with these units when developing your budget proposal.</w:t>
      </w:r>
    </w:p>
    <w:p w:rsidR="00123DA5" w:rsidRPr="00840AC6" w:rsidRDefault="00123DA5" w:rsidP="007942CF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b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t>Resources are state funds and thus are subject to the rules and policies governing state funding.</w:t>
      </w:r>
      <w:r w:rsidR="004F526D" w:rsidRPr="00840AC6">
        <w:rPr>
          <w:rFonts w:ascii="Arial" w:hAnsi="Arial" w:cs="Arial"/>
          <w:sz w:val="22"/>
          <w:szCs w:val="22"/>
        </w:rPr>
        <w:t xml:space="preserve"> </w:t>
      </w:r>
      <w:r w:rsidRPr="00840AC6">
        <w:rPr>
          <w:rFonts w:ascii="Arial" w:hAnsi="Arial" w:cs="Arial"/>
          <w:b/>
          <w:sz w:val="22"/>
          <w:szCs w:val="22"/>
        </w:rPr>
        <w:t>No permanent hiring may be done.</w:t>
      </w:r>
    </w:p>
    <w:p w:rsidR="00123DA5" w:rsidRPr="00840AC6" w:rsidRDefault="00123DA5" w:rsidP="007942CF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b/>
          <w:sz w:val="22"/>
          <w:szCs w:val="22"/>
        </w:rPr>
        <w:t>Budget categories must include only one-time costs.</w:t>
      </w:r>
      <w:r w:rsidRPr="00840AC6">
        <w:rPr>
          <w:rFonts w:ascii="Arial" w:hAnsi="Arial" w:cs="Arial"/>
          <w:sz w:val="22"/>
          <w:szCs w:val="22"/>
        </w:rPr>
        <w:t xml:space="preserve"> Grant funds are temporary and may not be used for permanent on-going costs. </w:t>
      </w:r>
    </w:p>
    <w:p w:rsidR="00123DA5" w:rsidRPr="00840AC6" w:rsidRDefault="00123DA5" w:rsidP="007942CF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t>When developing your proposal, consider unanticipated or “hidden” costs. For instance, consider the costs of supplies, postage, mailings, etc. No additional support will be available for unanticipated expenses.</w:t>
      </w:r>
    </w:p>
    <w:p w:rsidR="000330F1" w:rsidRPr="00840AC6" w:rsidRDefault="00123DA5" w:rsidP="000330F1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t>Non-fundable expenses</w:t>
      </w:r>
      <w:r w:rsidRPr="00840AC6">
        <w:rPr>
          <w:rFonts w:ascii="Arial" w:hAnsi="Arial" w:cs="Arial"/>
          <w:b/>
          <w:sz w:val="22"/>
          <w:szCs w:val="22"/>
        </w:rPr>
        <w:t xml:space="preserve"> </w:t>
      </w:r>
      <w:r w:rsidRPr="00840AC6">
        <w:rPr>
          <w:rFonts w:ascii="Arial" w:hAnsi="Arial" w:cs="Arial"/>
          <w:sz w:val="22"/>
          <w:szCs w:val="22"/>
        </w:rPr>
        <w:t xml:space="preserve">include student tuition, conference attendance, </w:t>
      </w:r>
      <w:r w:rsidR="00186E3C" w:rsidRPr="00840AC6">
        <w:rPr>
          <w:rFonts w:ascii="Arial" w:hAnsi="Arial" w:cs="Arial"/>
          <w:sz w:val="22"/>
          <w:szCs w:val="22"/>
        </w:rPr>
        <w:t>course buyouts</w:t>
      </w:r>
      <w:r w:rsidRPr="00840AC6">
        <w:rPr>
          <w:rFonts w:ascii="Arial" w:hAnsi="Arial" w:cs="Arial"/>
          <w:sz w:val="22"/>
          <w:szCs w:val="22"/>
        </w:rPr>
        <w:t xml:space="preserve">, meals/food not directly related to project programming, </w:t>
      </w:r>
      <w:r w:rsidR="00B84E76" w:rsidRPr="00840AC6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indirect costs,</w:t>
      </w:r>
      <w:r w:rsidR="00B84E76" w:rsidRPr="00840AC6">
        <w:rPr>
          <w:rFonts w:ascii="Arial" w:hAnsi="Arial" w:cs="Arial"/>
          <w:sz w:val="22"/>
          <w:szCs w:val="22"/>
        </w:rPr>
        <w:t xml:space="preserve"> </w:t>
      </w:r>
      <w:r w:rsidR="004E0919" w:rsidRPr="00840AC6">
        <w:rPr>
          <w:rFonts w:ascii="Arial" w:hAnsi="Arial" w:cs="Arial"/>
          <w:sz w:val="22"/>
          <w:szCs w:val="22"/>
        </w:rPr>
        <w:t xml:space="preserve">and expenses that </w:t>
      </w:r>
      <w:r w:rsidRPr="00840AC6">
        <w:rPr>
          <w:rFonts w:ascii="Arial" w:hAnsi="Arial" w:cs="Arial"/>
          <w:sz w:val="22"/>
          <w:szCs w:val="22"/>
        </w:rPr>
        <w:t>occurred</w:t>
      </w:r>
      <w:r w:rsidR="004E0919" w:rsidRPr="00840AC6">
        <w:rPr>
          <w:rFonts w:ascii="Arial" w:hAnsi="Arial" w:cs="Arial"/>
          <w:sz w:val="22"/>
          <w:szCs w:val="22"/>
        </w:rPr>
        <w:t xml:space="preserve"> prior to approval of the project</w:t>
      </w:r>
      <w:r w:rsidRPr="00840AC6">
        <w:rPr>
          <w:rFonts w:ascii="Arial" w:hAnsi="Arial" w:cs="Arial"/>
          <w:sz w:val="22"/>
          <w:szCs w:val="22"/>
        </w:rPr>
        <w:t>.</w:t>
      </w:r>
      <w:r w:rsidR="00B84E76" w:rsidRPr="00840AC6">
        <w:rPr>
          <w:rFonts w:ascii="Arial" w:hAnsi="Arial" w:cs="Arial"/>
          <w:sz w:val="22"/>
          <w:szCs w:val="22"/>
        </w:rPr>
        <w:t xml:space="preserve"> </w:t>
      </w:r>
    </w:p>
    <w:p w:rsidR="00123DA5" w:rsidRPr="00840AC6" w:rsidRDefault="00EB791E" w:rsidP="000330F1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lastRenderedPageBreak/>
        <w:t>Fundable expenses include costs incurred by community partners, s</w:t>
      </w:r>
      <w:r w:rsidR="00123DA5" w:rsidRPr="00840AC6">
        <w:rPr>
          <w:rFonts w:ascii="Arial" w:hAnsi="Arial" w:cs="Arial"/>
          <w:sz w:val="22"/>
          <w:szCs w:val="22"/>
        </w:rPr>
        <w:t>ummer salary</w:t>
      </w:r>
      <w:r w:rsidRPr="00840AC6">
        <w:rPr>
          <w:rFonts w:ascii="Arial" w:hAnsi="Arial" w:cs="Arial"/>
          <w:sz w:val="22"/>
          <w:szCs w:val="22"/>
        </w:rPr>
        <w:t xml:space="preserve"> for faculty</w:t>
      </w:r>
      <w:r w:rsidR="00123DA5" w:rsidRPr="00840AC6">
        <w:rPr>
          <w:rFonts w:ascii="Arial" w:hAnsi="Arial" w:cs="Arial"/>
          <w:sz w:val="22"/>
          <w:szCs w:val="22"/>
        </w:rPr>
        <w:t xml:space="preserve">, </w:t>
      </w:r>
      <w:r w:rsidR="00E910B4" w:rsidRPr="00840AC6">
        <w:rPr>
          <w:rFonts w:ascii="Arial" w:hAnsi="Arial" w:cs="Arial"/>
          <w:sz w:val="22"/>
          <w:szCs w:val="22"/>
        </w:rPr>
        <w:t xml:space="preserve">and </w:t>
      </w:r>
      <w:r w:rsidR="00123DA5" w:rsidRPr="00840AC6">
        <w:rPr>
          <w:rFonts w:ascii="Arial" w:hAnsi="Arial" w:cs="Arial"/>
          <w:sz w:val="22"/>
          <w:szCs w:val="22"/>
        </w:rPr>
        <w:t xml:space="preserve">hourly wages for </w:t>
      </w:r>
      <w:r w:rsidR="006934C0" w:rsidRPr="00840AC6">
        <w:rPr>
          <w:rFonts w:ascii="Arial" w:hAnsi="Arial" w:cs="Arial"/>
          <w:sz w:val="22"/>
          <w:szCs w:val="22"/>
        </w:rPr>
        <w:t xml:space="preserve">post-doc, graduate and undergraduate </w:t>
      </w:r>
      <w:r w:rsidR="009549CD" w:rsidRPr="00840AC6">
        <w:rPr>
          <w:rFonts w:ascii="Arial" w:hAnsi="Arial" w:cs="Arial"/>
          <w:sz w:val="22"/>
          <w:szCs w:val="22"/>
        </w:rPr>
        <w:t xml:space="preserve">students, or part-time </w:t>
      </w:r>
      <w:r w:rsidR="00123DA5" w:rsidRPr="00840AC6">
        <w:rPr>
          <w:rFonts w:ascii="Arial" w:hAnsi="Arial" w:cs="Arial"/>
          <w:sz w:val="22"/>
          <w:szCs w:val="22"/>
        </w:rPr>
        <w:t>em</w:t>
      </w:r>
      <w:r w:rsidR="005F12E9" w:rsidRPr="00840AC6">
        <w:rPr>
          <w:rFonts w:ascii="Arial" w:hAnsi="Arial" w:cs="Arial"/>
          <w:sz w:val="22"/>
          <w:szCs w:val="22"/>
        </w:rPr>
        <w:t>ployees</w:t>
      </w:r>
      <w:r w:rsidR="000E6228" w:rsidRPr="00840AC6">
        <w:rPr>
          <w:rFonts w:ascii="Arial" w:hAnsi="Arial" w:cs="Arial"/>
          <w:sz w:val="22"/>
          <w:szCs w:val="22"/>
        </w:rPr>
        <w:t xml:space="preserve">. </w:t>
      </w:r>
      <w:r w:rsidR="005F12E9" w:rsidRPr="00840AC6">
        <w:rPr>
          <w:rFonts w:ascii="Arial" w:hAnsi="Arial" w:cs="Arial"/>
          <w:sz w:val="22"/>
          <w:szCs w:val="22"/>
        </w:rPr>
        <w:t>Remember to budget</w:t>
      </w:r>
      <w:r w:rsidR="00123DA5" w:rsidRPr="00840AC6">
        <w:rPr>
          <w:rFonts w:ascii="Arial" w:hAnsi="Arial" w:cs="Arial"/>
          <w:sz w:val="22"/>
          <w:szCs w:val="22"/>
        </w:rPr>
        <w:t xml:space="preserve"> for applicable fringe costs.</w:t>
      </w:r>
      <w:r w:rsidR="004F526D" w:rsidRPr="00840AC6">
        <w:rPr>
          <w:rFonts w:ascii="Arial" w:hAnsi="Arial" w:cs="Arial"/>
          <w:sz w:val="22"/>
          <w:szCs w:val="22"/>
        </w:rPr>
        <w:t xml:space="preserve"> </w:t>
      </w:r>
    </w:p>
    <w:p w:rsidR="00D010E5" w:rsidRPr="00840AC6" w:rsidRDefault="00D010E5" w:rsidP="000330F1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840AC6">
        <w:rPr>
          <w:rFonts w:ascii="Arial" w:hAnsi="Arial" w:cs="Arial"/>
          <w:sz w:val="22"/>
          <w:szCs w:val="22"/>
        </w:rPr>
        <w:t>A</w:t>
      </w:r>
      <w:r w:rsidR="007825FE" w:rsidRPr="00840AC6">
        <w:rPr>
          <w:rFonts w:ascii="Arial" w:hAnsi="Arial" w:cs="Arial"/>
          <w:sz w:val="22"/>
          <w:szCs w:val="22"/>
        </w:rPr>
        <w:t>warded funds will be transferred to the appropriate department once all required paperwork is received by the Office of Community Affairs</w:t>
      </w:r>
      <w:r w:rsidRPr="00840AC6">
        <w:rPr>
          <w:rFonts w:ascii="Arial" w:hAnsi="Arial" w:cs="Arial"/>
          <w:sz w:val="22"/>
          <w:szCs w:val="22"/>
        </w:rPr>
        <w:t>.</w:t>
      </w:r>
    </w:p>
    <w:p w:rsidR="004E0919" w:rsidRPr="005B3792" w:rsidRDefault="004E0919" w:rsidP="000330F1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 w:rsidRPr="005B3792">
        <w:rPr>
          <w:rFonts w:ascii="Arial" w:hAnsi="Arial" w:cs="Arial"/>
          <w:sz w:val="22"/>
          <w:szCs w:val="22"/>
        </w:rPr>
        <w:t>Any funds remaining at the end of the project must be returned.</w:t>
      </w:r>
    </w:p>
    <w:p w:rsidR="00D010E5" w:rsidRPr="00FA74CE" w:rsidRDefault="005B3792" w:rsidP="007942CF">
      <w:pPr>
        <w:pStyle w:val="ListParagraph"/>
        <w:numPr>
          <w:ilvl w:val="0"/>
          <w:numId w:val="4"/>
        </w:numPr>
        <w:ind w:righ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A6791" w:rsidRPr="005B3792">
        <w:rPr>
          <w:rFonts w:ascii="Arial" w:hAnsi="Arial" w:cs="Arial"/>
          <w:color w:val="000000"/>
          <w:sz w:val="22"/>
          <w:szCs w:val="22"/>
        </w:rPr>
        <w:t xml:space="preserve">wards may </w:t>
      </w:r>
      <w:r w:rsidR="00311AFC" w:rsidRPr="005B3792">
        <w:rPr>
          <w:rFonts w:ascii="Arial" w:hAnsi="Arial" w:cs="Arial"/>
          <w:color w:val="000000"/>
          <w:sz w:val="22"/>
          <w:szCs w:val="22"/>
        </w:rPr>
        <w:t>be</w:t>
      </w:r>
      <w:r w:rsidR="000A6791" w:rsidRPr="005B3792">
        <w:rPr>
          <w:rFonts w:ascii="Arial" w:hAnsi="Arial" w:cs="Arial"/>
          <w:color w:val="000000"/>
          <w:sz w:val="22"/>
          <w:szCs w:val="22"/>
        </w:rPr>
        <w:t xml:space="preserve"> less than the requested amount.</w:t>
      </w:r>
    </w:p>
    <w:p w:rsidR="00D010E5" w:rsidRPr="00840AC6" w:rsidRDefault="00D010E5" w:rsidP="007942CF">
      <w:pPr>
        <w:ind w:right="540"/>
        <w:rPr>
          <w:rFonts w:ascii="Arial" w:hAnsi="Arial" w:cs="Arial"/>
          <w:b/>
        </w:rPr>
      </w:pPr>
    </w:p>
    <w:p w:rsidR="00123DA5" w:rsidRDefault="00123DA5" w:rsidP="007942CF">
      <w:pPr>
        <w:ind w:right="540"/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Support and Questions</w:t>
      </w:r>
    </w:p>
    <w:p w:rsidR="005B3792" w:rsidRPr="00840AC6" w:rsidRDefault="005B3792" w:rsidP="007942CF">
      <w:pPr>
        <w:ind w:right="540"/>
        <w:rPr>
          <w:rFonts w:ascii="Arial" w:hAnsi="Arial" w:cs="Arial"/>
          <w:b/>
        </w:rPr>
      </w:pPr>
    </w:p>
    <w:p w:rsidR="00311AFC" w:rsidRPr="00840AC6" w:rsidRDefault="00123DA5" w:rsidP="007942CF">
      <w:pPr>
        <w:ind w:right="540"/>
        <w:rPr>
          <w:rFonts w:ascii="Arial" w:hAnsi="Arial" w:cs="Arial"/>
        </w:rPr>
      </w:pPr>
      <w:r w:rsidRPr="00840AC6">
        <w:rPr>
          <w:rFonts w:ascii="Arial" w:hAnsi="Arial" w:cs="Arial"/>
        </w:rPr>
        <w:t>The Office of Community Affairs</w:t>
      </w:r>
      <w:r w:rsidRPr="00840AC6">
        <w:rPr>
          <w:rFonts w:ascii="Arial" w:hAnsi="Arial" w:cs="Arial"/>
          <w:b/>
        </w:rPr>
        <w:t xml:space="preserve"> </w:t>
      </w:r>
      <w:r w:rsidRPr="00840AC6">
        <w:rPr>
          <w:rFonts w:ascii="Arial" w:hAnsi="Arial" w:cs="Arial"/>
        </w:rPr>
        <w:t xml:space="preserve">serves as the coordinating office for this grant program. For more </w:t>
      </w:r>
      <w:r w:rsidR="00A25D74" w:rsidRPr="00840AC6">
        <w:rPr>
          <w:rFonts w:ascii="Arial" w:hAnsi="Arial" w:cs="Arial"/>
        </w:rPr>
        <w:t>information,</w:t>
      </w:r>
      <w:r w:rsidRPr="00840AC6">
        <w:rPr>
          <w:rFonts w:ascii="Arial" w:hAnsi="Arial" w:cs="Arial"/>
        </w:rPr>
        <w:t xml:space="preserve"> contact Melissa Selesky, Director, Rutgers–New Brun</w:t>
      </w:r>
      <w:r w:rsidR="005A1243" w:rsidRPr="00840AC6">
        <w:rPr>
          <w:rFonts w:ascii="Arial" w:hAnsi="Arial" w:cs="Arial"/>
        </w:rPr>
        <w:t>swick Community Relations at 848</w:t>
      </w:r>
      <w:r w:rsidR="00374504">
        <w:rPr>
          <w:rFonts w:ascii="Arial" w:hAnsi="Arial" w:cs="Arial"/>
        </w:rPr>
        <w:t>-445-1961</w:t>
      </w:r>
      <w:r w:rsidRPr="00840AC6">
        <w:rPr>
          <w:rFonts w:ascii="Arial" w:hAnsi="Arial" w:cs="Arial"/>
        </w:rPr>
        <w:t xml:space="preserve"> or </w:t>
      </w:r>
      <w:hyperlink r:id="rId9" w:history="1">
        <w:r w:rsidR="001771F3" w:rsidRPr="00CF0FAA">
          <w:rPr>
            <w:rStyle w:val="Hyperlink"/>
            <w:rFonts w:ascii="Arial" w:hAnsi="Arial" w:cs="Arial"/>
          </w:rPr>
          <w:t>selesky@rutgers.edu</w:t>
        </w:r>
      </w:hyperlink>
      <w:r w:rsidRPr="00840AC6">
        <w:rPr>
          <w:rFonts w:ascii="Arial" w:hAnsi="Arial" w:cs="Arial"/>
        </w:rPr>
        <w:t>.</w:t>
      </w:r>
    </w:p>
    <w:p w:rsidR="00123DA5" w:rsidRPr="00840AC6" w:rsidRDefault="00123DA5" w:rsidP="007942CF">
      <w:pPr>
        <w:ind w:right="540"/>
        <w:rPr>
          <w:rFonts w:ascii="Arial" w:hAnsi="Arial" w:cs="Arial"/>
        </w:rPr>
      </w:pPr>
    </w:p>
    <w:p w:rsidR="00123DA5" w:rsidRPr="00840AC6" w:rsidRDefault="00123DA5" w:rsidP="007942CF">
      <w:pPr>
        <w:ind w:right="54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The </w:t>
      </w:r>
      <w:r w:rsidRPr="005B3C2F">
        <w:rPr>
          <w:rFonts w:ascii="Arial" w:hAnsi="Arial" w:cs="Arial"/>
          <w:b/>
          <w:i/>
        </w:rPr>
        <w:t>Programs for the Community</w:t>
      </w:r>
      <w:r w:rsidRPr="00840AC6">
        <w:rPr>
          <w:rFonts w:ascii="Arial" w:hAnsi="Arial" w:cs="Arial"/>
        </w:rPr>
        <w:t xml:space="preserve"> website is an online resource connecting both Rutgers and community users with relevant information and a directory of current community-university collaborative programs, among other features. Visit community.rutgers.edu</w:t>
      </w:r>
      <w:r w:rsidR="001771F3">
        <w:rPr>
          <w:rFonts w:ascii="Arial" w:hAnsi="Arial" w:cs="Arial"/>
        </w:rPr>
        <w:t xml:space="preserve"> for more information</w:t>
      </w:r>
      <w:r w:rsidRPr="00840AC6">
        <w:rPr>
          <w:rFonts w:ascii="Arial" w:hAnsi="Arial" w:cs="Arial"/>
        </w:rPr>
        <w:t>.</w:t>
      </w:r>
      <w:r w:rsidR="004F526D" w:rsidRPr="00840AC6">
        <w:rPr>
          <w:rFonts w:ascii="Arial" w:hAnsi="Arial" w:cs="Arial"/>
        </w:rPr>
        <w:t xml:space="preserve"> </w:t>
      </w:r>
    </w:p>
    <w:p w:rsidR="00123DA5" w:rsidRPr="00840AC6" w:rsidRDefault="00123DA5" w:rsidP="007942CF">
      <w:pPr>
        <w:ind w:right="540"/>
        <w:rPr>
          <w:rFonts w:ascii="Arial" w:hAnsi="Arial" w:cs="Arial"/>
        </w:rPr>
      </w:pPr>
    </w:p>
    <w:p w:rsidR="00123DA5" w:rsidRPr="00840AC6" w:rsidRDefault="00123DA5" w:rsidP="007942CF">
      <w:pPr>
        <w:ind w:right="540"/>
        <w:rPr>
          <w:rFonts w:ascii="Arial" w:hAnsi="Arial" w:cs="Arial"/>
        </w:rPr>
      </w:pPr>
    </w:p>
    <w:p w:rsidR="00123DA5" w:rsidRPr="00840AC6" w:rsidRDefault="00123DA5" w:rsidP="007942CF">
      <w:pPr>
        <w:ind w:right="540"/>
        <w:rPr>
          <w:rFonts w:ascii="Arial" w:hAnsi="Arial" w:cs="Arial"/>
          <w:b/>
          <w:szCs w:val="22"/>
        </w:rPr>
      </w:pPr>
    </w:p>
    <w:p w:rsidR="00123DA5" w:rsidRPr="00840AC6" w:rsidRDefault="00123DA5" w:rsidP="007942CF">
      <w:pPr>
        <w:pStyle w:val="Letterbody"/>
        <w:ind w:right="540"/>
        <w:rPr>
          <w:rFonts w:ascii="Arial" w:hAnsi="Arial" w:cs="Arial"/>
        </w:rPr>
      </w:pPr>
    </w:p>
    <w:sectPr w:rsidR="00123DA5" w:rsidRPr="00840AC6" w:rsidSect="008A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900" w:bottom="806" w:left="126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E4" w:rsidRDefault="00C821E4">
      <w:r>
        <w:separator/>
      </w:r>
    </w:p>
  </w:endnote>
  <w:endnote w:type="continuationSeparator" w:id="0">
    <w:p w:rsidR="00C821E4" w:rsidRDefault="00C8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rmataBQ-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30" w:rsidRDefault="00C87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4" w:rsidRDefault="00C875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9D8">
      <w:rPr>
        <w:noProof/>
      </w:rPr>
      <w:t>4</w:t>
    </w:r>
    <w:r>
      <w:rPr>
        <w:noProof/>
      </w:rPr>
      <w:fldChar w:fldCharType="end"/>
    </w:r>
  </w:p>
  <w:p w:rsidR="00C821E4" w:rsidRDefault="00C82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4" w:rsidRDefault="00C875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9D8">
      <w:rPr>
        <w:noProof/>
      </w:rPr>
      <w:t>1</w:t>
    </w:r>
    <w:r>
      <w:rPr>
        <w:noProof/>
      </w:rPr>
      <w:fldChar w:fldCharType="end"/>
    </w:r>
  </w:p>
  <w:p w:rsidR="00C821E4" w:rsidRDefault="00C8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E4" w:rsidRDefault="00C821E4">
      <w:r>
        <w:separator/>
      </w:r>
    </w:p>
  </w:footnote>
  <w:footnote w:type="continuationSeparator" w:id="0">
    <w:p w:rsidR="00C821E4" w:rsidRDefault="00C8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30" w:rsidRDefault="00C87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4" w:rsidRDefault="00C821E4">
    <w:pPr>
      <w:pStyle w:val="Header"/>
      <w:spacing w:line="240" w:lineRule="auto"/>
      <w:ind w:left="-634"/>
    </w:pPr>
    <w:r>
      <w:rPr>
        <w:noProof/>
      </w:rPr>
      <w:drawing>
        <wp:inline distT="0" distB="0" distL="0" distR="0" wp14:anchorId="06DFA5FD" wp14:editId="4CEF9D39">
          <wp:extent cx="1419225" cy="3810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4" w:rsidRDefault="00C821E4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w:drawing>
        <wp:inline distT="0" distB="0" distL="0" distR="0" wp14:anchorId="1F6F6408" wp14:editId="0F5D55F5">
          <wp:extent cx="1419225" cy="3810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AB763AF" wp14:editId="3877F595">
          <wp:simplePos x="0" y="0"/>
          <wp:positionH relativeFrom="page">
            <wp:posOffset>3429000</wp:posOffset>
          </wp:positionH>
          <wp:positionV relativeFrom="page">
            <wp:posOffset>411480</wp:posOffset>
          </wp:positionV>
          <wp:extent cx="93345" cy="1329055"/>
          <wp:effectExtent l="19050" t="0" r="1905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563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6D153A21" wp14:editId="6263FE7F">
              <wp:simplePos x="0" y="0"/>
              <wp:positionH relativeFrom="page">
                <wp:posOffset>3584575</wp:posOffset>
              </wp:positionH>
              <wp:positionV relativeFrom="page">
                <wp:posOffset>356870</wp:posOffset>
              </wp:positionV>
              <wp:extent cx="2067560" cy="1024255"/>
              <wp:effectExtent l="3175" t="444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1E4" w:rsidRDefault="00C821E4">
                          <w:pPr>
                            <w:pStyle w:val="AddressBlockFormata"/>
                          </w:pPr>
                          <w:r>
                            <w:t>Office of Community Affairs</w:t>
                          </w:r>
                        </w:p>
                        <w:p w:rsidR="00C821E4" w:rsidRDefault="00AE1050">
                          <w:pPr>
                            <w:pStyle w:val="AddressBlockFormata"/>
                          </w:pPr>
                          <w:r>
                            <w:t>University Communications and Marketing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  <w:r>
                            <w:t>Rutgers, The State University of New Jersey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  <w:r>
                            <w:t>101 Somerset Street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  <w:r>
                            <w:t>New Brunswick, NJ 08901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53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25pt;margin-top:28.1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" o:allowoverlap="f" stroked="f">
              <v:textbox inset="0,4.32pt,0,0">
                <w:txbxContent>
                  <w:p w:rsidR="00C821E4" w:rsidRDefault="00C821E4">
                    <w:pPr>
                      <w:pStyle w:val="AddressBlockFormata"/>
                    </w:pPr>
                    <w:r>
                      <w:t>Office of Community Affairs</w:t>
                    </w:r>
                  </w:p>
                  <w:p w:rsidR="00C821E4" w:rsidRDefault="00AE1050">
                    <w:pPr>
                      <w:pStyle w:val="AddressBlockFormata"/>
                    </w:pPr>
                    <w:r>
                      <w:t>University Communications and Marketing</w:t>
                    </w:r>
                  </w:p>
                  <w:p w:rsidR="00C821E4" w:rsidRDefault="00C821E4">
                    <w:pPr>
                      <w:pStyle w:val="AddressBlockFormata"/>
                    </w:pPr>
                    <w:r>
                      <w:t>Rutgers, The State University of New Jersey</w:t>
                    </w:r>
                  </w:p>
                  <w:p w:rsidR="00C821E4" w:rsidRDefault="00C821E4">
                    <w:pPr>
                      <w:pStyle w:val="AddressBlockFormata"/>
                    </w:pPr>
                    <w:r>
                      <w:t>101 Somerset Street</w:t>
                    </w:r>
                  </w:p>
                  <w:p w:rsidR="00C821E4" w:rsidRDefault="00C821E4">
                    <w:pPr>
                      <w:pStyle w:val="AddressBlockFormata"/>
                    </w:pPr>
                    <w:r>
                      <w:t>New Brunswick, NJ 08901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63D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1272761" wp14:editId="461E7487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0" t="444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1E4" w:rsidRDefault="00C821E4">
                          <w:pPr>
                            <w:pStyle w:val="AddressBlockFormata"/>
                          </w:pPr>
                          <w:r>
                            <w:t>www.rutgers.edu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</w:p>
                        <w:p w:rsidR="00C821E4" w:rsidRDefault="00C821E4">
                          <w:pPr>
                            <w:pStyle w:val="AddressBlockFormata"/>
                          </w:pPr>
                        </w:p>
                        <w:p w:rsidR="00C821E4" w:rsidRPr="00E86244" w:rsidRDefault="00B430C0">
                          <w:pPr>
                            <w:pStyle w:val="AddressBlockFormata"/>
                          </w:pPr>
                          <w:r>
                            <w:t>848</w:t>
                          </w:r>
                          <w:r w:rsidR="00C821E4" w:rsidRPr="00E86244">
                            <w:t>-</w:t>
                          </w:r>
                          <w:r>
                            <w:t>932</w:t>
                          </w:r>
                          <w:r w:rsidR="00C821E4" w:rsidRPr="00E86244">
                            <w:t>-7823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  <w:r w:rsidRPr="00E86244">
                            <w:t>Fax: 732-932-6950</w:t>
                          </w:r>
                        </w:p>
                        <w:p w:rsidR="00C821E4" w:rsidRDefault="00C821E4">
                          <w:pPr>
                            <w:pStyle w:val="AddressBlockFormata"/>
                          </w:pPr>
                        </w:p>
                        <w:p w:rsidR="00C821E4" w:rsidRDefault="00C821E4">
                          <w:pPr>
                            <w:pStyle w:val="AddressBlockFormat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72761" id="Text Box 3" o:spid="_x0000_s1027" type="#_x0000_t202" style="position:absolute;left:0;text-align:left;margin-left:454.3pt;margin-top:27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" o:allowoverlap="f" filled="f" stroked="f">
              <v:textbox inset="0,4.32pt,0,0">
                <w:txbxContent>
                  <w:p w:rsidR="00C821E4" w:rsidRDefault="00C821E4">
                    <w:pPr>
                      <w:pStyle w:val="AddressBlockFormata"/>
                    </w:pPr>
                    <w:r>
                      <w:t>www.rutgers.edu</w:t>
                    </w:r>
                  </w:p>
                  <w:p w:rsidR="00C821E4" w:rsidRDefault="00C821E4">
                    <w:pPr>
                      <w:pStyle w:val="AddressBlockFormata"/>
                    </w:pPr>
                  </w:p>
                  <w:p w:rsidR="00C821E4" w:rsidRDefault="00C821E4">
                    <w:pPr>
                      <w:pStyle w:val="AddressBlockFormata"/>
                    </w:pPr>
                  </w:p>
                  <w:p w:rsidR="00C821E4" w:rsidRPr="00E86244" w:rsidRDefault="00B430C0">
                    <w:pPr>
                      <w:pStyle w:val="AddressBlockFormata"/>
                    </w:pPr>
                    <w:r>
                      <w:t>848</w:t>
                    </w:r>
                    <w:r w:rsidR="00C821E4" w:rsidRPr="00E86244">
                      <w:t>-</w:t>
                    </w:r>
                    <w:r>
                      <w:t>932</w:t>
                    </w:r>
                    <w:r w:rsidR="00C821E4" w:rsidRPr="00E86244">
                      <w:t>-7823</w:t>
                    </w:r>
                  </w:p>
                  <w:p w:rsidR="00C821E4" w:rsidRDefault="00C821E4">
                    <w:pPr>
                      <w:pStyle w:val="AddressBlockFormata"/>
                    </w:pPr>
                    <w:r w:rsidRPr="00E86244">
                      <w:t>Fax: 732-932-6950</w:t>
                    </w:r>
                  </w:p>
                  <w:p w:rsidR="00C821E4" w:rsidRDefault="00C821E4">
                    <w:pPr>
                      <w:pStyle w:val="AddressBlockFormata"/>
                    </w:pPr>
                  </w:p>
                  <w:p w:rsidR="00C821E4" w:rsidRDefault="00C821E4">
                    <w:pPr>
                      <w:pStyle w:val="AddressBlockFormata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C6A"/>
    <w:multiLevelType w:val="hybridMultilevel"/>
    <w:tmpl w:val="F6244766"/>
    <w:lvl w:ilvl="0" w:tplc="97C4B9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B6366"/>
    <w:multiLevelType w:val="hybridMultilevel"/>
    <w:tmpl w:val="2EAC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41B5"/>
    <w:multiLevelType w:val="hybridMultilevel"/>
    <w:tmpl w:val="DE4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923"/>
    <w:multiLevelType w:val="hybridMultilevel"/>
    <w:tmpl w:val="0694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101A"/>
    <w:multiLevelType w:val="hybridMultilevel"/>
    <w:tmpl w:val="B148B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8E02F1"/>
    <w:multiLevelType w:val="hybridMultilevel"/>
    <w:tmpl w:val="E7B8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4B53"/>
    <w:multiLevelType w:val="hybridMultilevel"/>
    <w:tmpl w:val="FC2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57DF"/>
    <w:multiLevelType w:val="hybridMultilevel"/>
    <w:tmpl w:val="6596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1147"/>
    <w:multiLevelType w:val="hybridMultilevel"/>
    <w:tmpl w:val="199A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29"/>
    <w:rsid w:val="00000A55"/>
    <w:rsid w:val="0000616C"/>
    <w:rsid w:val="0001686D"/>
    <w:rsid w:val="000330F1"/>
    <w:rsid w:val="00062332"/>
    <w:rsid w:val="0007625B"/>
    <w:rsid w:val="00080A45"/>
    <w:rsid w:val="000910C9"/>
    <w:rsid w:val="000A3993"/>
    <w:rsid w:val="000A672A"/>
    <w:rsid w:val="000A6791"/>
    <w:rsid w:val="000E6228"/>
    <w:rsid w:val="000F79CE"/>
    <w:rsid w:val="00104130"/>
    <w:rsid w:val="0011563D"/>
    <w:rsid w:val="00120E46"/>
    <w:rsid w:val="00121043"/>
    <w:rsid w:val="00123DA5"/>
    <w:rsid w:val="00124201"/>
    <w:rsid w:val="00142A09"/>
    <w:rsid w:val="001602C8"/>
    <w:rsid w:val="00162B40"/>
    <w:rsid w:val="00166FC8"/>
    <w:rsid w:val="001771F3"/>
    <w:rsid w:val="00181C96"/>
    <w:rsid w:val="00186E3C"/>
    <w:rsid w:val="00192FED"/>
    <w:rsid w:val="001A4B8F"/>
    <w:rsid w:val="001B5821"/>
    <w:rsid w:val="001C0050"/>
    <w:rsid w:val="001C2F72"/>
    <w:rsid w:val="001D1E00"/>
    <w:rsid w:val="001E1A5E"/>
    <w:rsid w:val="001E52B9"/>
    <w:rsid w:val="00203B9A"/>
    <w:rsid w:val="00204AA2"/>
    <w:rsid w:val="00213B2A"/>
    <w:rsid w:val="00215796"/>
    <w:rsid w:val="0022401E"/>
    <w:rsid w:val="00232731"/>
    <w:rsid w:val="002332F3"/>
    <w:rsid w:val="00237876"/>
    <w:rsid w:val="00263133"/>
    <w:rsid w:val="002644B8"/>
    <w:rsid w:val="0026695E"/>
    <w:rsid w:val="002759D8"/>
    <w:rsid w:val="00277815"/>
    <w:rsid w:val="0028369B"/>
    <w:rsid w:val="002839E6"/>
    <w:rsid w:val="0028425F"/>
    <w:rsid w:val="002A25A3"/>
    <w:rsid w:val="002A5698"/>
    <w:rsid w:val="002C1244"/>
    <w:rsid w:val="002C4C8C"/>
    <w:rsid w:val="002E4B3A"/>
    <w:rsid w:val="002F442E"/>
    <w:rsid w:val="00300537"/>
    <w:rsid w:val="00303051"/>
    <w:rsid w:val="00305D8A"/>
    <w:rsid w:val="00310942"/>
    <w:rsid w:val="00311AFC"/>
    <w:rsid w:val="0031465F"/>
    <w:rsid w:val="003218BE"/>
    <w:rsid w:val="00325141"/>
    <w:rsid w:val="0033164A"/>
    <w:rsid w:val="003342F4"/>
    <w:rsid w:val="00355726"/>
    <w:rsid w:val="00356B17"/>
    <w:rsid w:val="00362EC8"/>
    <w:rsid w:val="003669AD"/>
    <w:rsid w:val="00374504"/>
    <w:rsid w:val="00381E89"/>
    <w:rsid w:val="00386771"/>
    <w:rsid w:val="003A194C"/>
    <w:rsid w:val="003A49C6"/>
    <w:rsid w:val="003C043A"/>
    <w:rsid w:val="003C2C90"/>
    <w:rsid w:val="003C54F6"/>
    <w:rsid w:val="003F1D98"/>
    <w:rsid w:val="003F30FA"/>
    <w:rsid w:val="00401545"/>
    <w:rsid w:val="00402125"/>
    <w:rsid w:val="004023D8"/>
    <w:rsid w:val="00403791"/>
    <w:rsid w:val="0042470A"/>
    <w:rsid w:val="004359FE"/>
    <w:rsid w:val="0044439F"/>
    <w:rsid w:val="00474674"/>
    <w:rsid w:val="004B65E9"/>
    <w:rsid w:val="004C79AF"/>
    <w:rsid w:val="004D32C7"/>
    <w:rsid w:val="004D55EE"/>
    <w:rsid w:val="004D6F6B"/>
    <w:rsid w:val="004E0919"/>
    <w:rsid w:val="004E1E03"/>
    <w:rsid w:val="004E3EDE"/>
    <w:rsid w:val="004F526D"/>
    <w:rsid w:val="00514197"/>
    <w:rsid w:val="00514E7D"/>
    <w:rsid w:val="00515BD0"/>
    <w:rsid w:val="0051792A"/>
    <w:rsid w:val="005242B6"/>
    <w:rsid w:val="00524CA5"/>
    <w:rsid w:val="0052585A"/>
    <w:rsid w:val="00543A69"/>
    <w:rsid w:val="00583EA4"/>
    <w:rsid w:val="005A1243"/>
    <w:rsid w:val="005A48A8"/>
    <w:rsid w:val="005B3792"/>
    <w:rsid w:val="005B3C2F"/>
    <w:rsid w:val="005C2A06"/>
    <w:rsid w:val="005C5611"/>
    <w:rsid w:val="005D4FFB"/>
    <w:rsid w:val="005D78E6"/>
    <w:rsid w:val="005E01C4"/>
    <w:rsid w:val="005F12E9"/>
    <w:rsid w:val="005F5E44"/>
    <w:rsid w:val="00602338"/>
    <w:rsid w:val="00607E28"/>
    <w:rsid w:val="006123FB"/>
    <w:rsid w:val="00615A9E"/>
    <w:rsid w:val="00616B76"/>
    <w:rsid w:val="00623DE0"/>
    <w:rsid w:val="00632FB8"/>
    <w:rsid w:val="00655885"/>
    <w:rsid w:val="006710DD"/>
    <w:rsid w:val="00672381"/>
    <w:rsid w:val="00680BBF"/>
    <w:rsid w:val="00681E23"/>
    <w:rsid w:val="00687AD8"/>
    <w:rsid w:val="00690A97"/>
    <w:rsid w:val="00691360"/>
    <w:rsid w:val="006934C0"/>
    <w:rsid w:val="006A17C1"/>
    <w:rsid w:val="006A5C25"/>
    <w:rsid w:val="006A5E1B"/>
    <w:rsid w:val="006B5323"/>
    <w:rsid w:val="006C047A"/>
    <w:rsid w:val="006D7FA4"/>
    <w:rsid w:val="006F63EA"/>
    <w:rsid w:val="007043F7"/>
    <w:rsid w:val="00744F95"/>
    <w:rsid w:val="007521A9"/>
    <w:rsid w:val="0075255F"/>
    <w:rsid w:val="00776798"/>
    <w:rsid w:val="007825FE"/>
    <w:rsid w:val="00793257"/>
    <w:rsid w:val="007942CF"/>
    <w:rsid w:val="007D2F73"/>
    <w:rsid w:val="007D315D"/>
    <w:rsid w:val="007D67B0"/>
    <w:rsid w:val="00805944"/>
    <w:rsid w:val="00813C27"/>
    <w:rsid w:val="0081480A"/>
    <w:rsid w:val="008259CA"/>
    <w:rsid w:val="00832DB9"/>
    <w:rsid w:val="00840AC6"/>
    <w:rsid w:val="0085324E"/>
    <w:rsid w:val="0086600A"/>
    <w:rsid w:val="00875147"/>
    <w:rsid w:val="008776C6"/>
    <w:rsid w:val="00890BCE"/>
    <w:rsid w:val="008A0B6D"/>
    <w:rsid w:val="008A63E6"/>
    <w:rsid w:val="008A6D65"/>
    <w:rsid w:val="008B55AE"/>
    <w:rsid w:val="008C1E46"/>
    <w:rsid w:val="008E423A"/>
    <w:rsid w:val="0091070F"/>
    <w:rsid w:val="009206BC"/>
    <w:rsid w:val="009208A4"/>
    <w:rsid w:val="009276CF"/>
    <w:rsid w:val="009365A3"/>
    <w:rsid w:val="00941CB4"/>
    <w:rsid w:val="00943EA4"/>
    <w:rsid w:val="009549CD"/>
    <w:rsid w:val="00967B2C"/>
    <w:rsid w:val="0099000B"/>
    <w:rsid w:val="0099352E"/>
    <w:rsid w:val="009A5AB3"/>
    <w:rsid w:val="009B35CB"/>
    <w:rsid w:val="009B685D"/>
    <w:rsid w:val="009B7F10"/>
    <w:rsid w:val="009C31C4"/>
    <w:rsid w:val="009D43C8"/>
    <w:rsid w:val="00A01DA7"/>
    <w:rsid w:val="00A06F90"/>
    <w:rsid w:val="00A100B6"/>
    <w:rsid w:val="00A11483"/>
    <w:rsid w:val="00A25D74"/>
    <w:rsid w:val="00A274B0"/>
    <w:rsid w:val="00A32CFF"/>
    <w:rsid w:val="00A46A4E"/>
    <w:rsid w:val="00A60F95"/>
    <w:rsid w:val="00A63454"/>
    <w:rsid w:val="00A82CF9"/>
    <w:rsid w:val="00A83859"/>
    <w:rsid w:val="00A83A5E"/>
    <w:rsid w:val="00A91A92"/>
    <w:rsid w:val="00A94719"/>
    <w:rsid w:val="00AA120B"/>
    <w:rsid w:val="00AB1A7C"/>
    <w:rsid w:val="00AE1050"/>
    <w:rsid w:val="00AE2B77"/>
    <w:rsid w:val="00AE4E82"/>
    <w:rsid w:val="00B01903"/>
    <w:rsid w:val="00B03423"/>
    <w:rsid w:val="00B1380E"/>
    <w:rsid w:val="00B376EF"/>
    <w:rsid w:val="00B430C0"/>
    <w:rsid w:val="00B709D6"/>
    <w:rsid w:val="00B71C72"/>
    <w:rsid w:val="00B84E76"/>
    <w:rsid w:val="00B961C9"/>
    <w:rsid w:val="00B97AD4"/>
    <w:rsid w:val="00B97D50"/>
    <w:rsid w:val="00BB6DD6"/>
    <w:rsid w:val="00BE2174"/>
    <w:rsid w:val="00C1338B"/>
    <w:rsid w:val="00C14CF0"/>
    <w:rsid w:val="00C54507"/>
    <w:rsid w:val="00C779D7"/>
    <w:rsid w:val="00C821E4"/>
    <w:rsid w:val="00C87530"/>
    <w:rsid w:val="00C9162D"/>
    <w:rsid w:val="00C972B1"/>
    <w:rsid w:val="00CA0425"/>
    <w:rsid w:val="00CA4DF8"/>
    <w:rsid w:val="00CC2586"/>
    <w:rsid w:val="00CE0DBA"/>
    <w:rsid w:val="00CF6E59"/>
    <w:rsid w:val="00D010E5"/>
    <w:rsid w:val="00D02A3B"/>
    <w:rsid w:val="00D0611F"/>
    <w:rsid w:val="00D1088C"/>
    <w:rsid w:val="00D10C38"/>
    <w:rsid w:val="00D24041"/>
    <w:rsid w:val="00D256A6"/>
    <w:rsid w:val="00D302FD"/>
    <w:rsid w:val="00D465E3"/>
    <w:rsid w:val="00D707E3"/>
    <w:rsid w:val="00D717C1"/>
    <w:rsid w:val="00D941FC"/>
    <w:rsid w:val="00DA58AC"/>
    <w:rsid w:val="00DB33E2"/>
    <w:rsid w:val="00DD0C08"/>
    <w:rsid w:val="00DF0B01"/>
    <w:rsid w:val="00DF60A6"/>
    <w:rsid w:val="00E06F0E"/>
    <w:rsid w:val="00E22610"/>
    <w:rsid w:val="00E303A3"/>
    <w:rsid w:val="00E30C1D"/>
    <w:rsid w:val="00E521FF"/>
    <w:rsid w:val="00E602D3"/>
    <w:rsid w:val="00E86244"/>
    <w:rsid w:val="00E910B4"/>
    <w:rsid w:val="00E96DC2"/>
    <w:rsid w:val="00EA508F"/>
    <w:rsid w:val="00EB459E"/>
    <w:rsid w:val="00EB791E"/>
    <w:rsid w:val="00ED5B71"/>
    <w:rsid w:val="00EF0FC3"/>
    <w:rsid w:val="00EF3DF8"/>
    <w:rsid w:val="00F25869"/>
    <w:rsid w:val="00F311FF"/>
    <w:rsid w:val="00F369D7"/>
    <w:rsid w:val="00F5056F"/>
    <w:rsid w:val="00F53BCC"/>
    <w:rsid w:val="00F64EF3"/>
    <w:rsid w:val="00F91F07"/>
    <w:rsid w:val="00F95D1E"/>
    <w:rsid w:val="00FA74CE"/>
    <w:rsid w:val="00FB0D16"/>
    <w:rsid w:val="00FD0770"/>
    <w:rsid w:val="00FD1DD7"/>
    <w:rsid w:val="00FD4795"/>
    <w:rsid w:val="00FE0441"/>
    <w:rsid w:val="00FE6C92"/>
    <w:rsid w:val="00FF2F0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9F27EAD"/>
  <w15:docId w15:val="{95D6C238-0205-45D0-AA42-1D276C1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E9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5E9"/>
    <w:pPr>
      <w:spacing w:line="23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66A"/>
    <w:rPr>
      <w:rFonts w:ascii="Palatino" w:hAnsi="Palatino"/>
      <w:sz w:val="22"/>
    </w:rPr>
  </w:style>
  <w:style w:type="paragraph" w:styleId="Footer">
    <w:name w:val="footer"/>
    <w:basedOn w:val="Normal"/>
    <w:link w:val="FooterChar"/>
    <w:uiPriority w:val="99"/>
    <w:rsid w:val="004B6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2610"/>
    <w:rPr>
      <w:rFonts w:ascii="Palatino" w:hAnsi="Palatino" w:cs="Times New Roman"/>
      <w:sz w:val="22"/>
    </w:rPr>
  </w:style>
  <w:style w:type="character" w:styleId="Hyperlink">
    <w:name w:val="Hyperlink"/>
    <w:basedOn w:val="DefaultParagraphFont"/>
    <w:uiPriority w:val="99"/>
    <w:rsid w:val="004B65E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B65E9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066A"/>
    <w:rPr>
      <w:rFonts w:ascii="Courier New" w:hAnsi="Courier New" w:cs="Courier New"/>
    </w:rPr>
  </w:style>
  <w:style w:type="paragraph" w:customStyle="1" w:styleId="AddressBlockFormata">
    <w:name w:val="Address Block (Formata)"/>
    <w:rsid w:val="004B65E9"/>
    <w:pPr>
      <w:suppressAutoHyphens/>
      <w:spacing w:line="220" w:lineRule="exact"/>
      <w:ind w:left="130" w:hanging="130"/>
    </w:pPr>
    <w:rPr>
      <w:rFonts w:ascii="FormataBQ-Light" w:hAnsi="FormataBQ-Light"/>
      <w:noProof/>
      <w:sz w:val="15"/>
    </w:rPr>
  </w:style>
  <w:style w:type="paragraph" w:customStyle="1" w:styleId="Letterbody">
    <w:name w:val="Letter body"/>
    <w:basedOn w:val="PlainText"/>
    <w:rsid w:val="004B65E9"/>
    <w:pPr>
      <w:widowControl w:val="0"/>
      <w:spacing w:line="260" w:lineRule="exact"/>
    </w:pPr>
    <w:rPr>
      <w:rFonts w:ascii="Palatino" w:hAnsi="Palatino"/>
      <w:sz w:val="21"/>
    </w:rPr>
  </w:style>
  <w:style w:type="paragraph" w:styleId="ListParagraph">
    <w:name w:val="List Paragraph"/>
    <w:basedOn w:val="Normal"/>
    <w:uiPriority w:val="34"/>
    <w:qFormat/>
    <w:rsid w:val="005C2A06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B65E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C2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2A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21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1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21E4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C8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1E4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ai.rutgers.edu/portal/site/71781dae-2735-4bb4-acba-4ffe2e378de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sky@rutgers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A417-0580-466C-A8AF-EA5BFE3C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Melissa Selesky</dc:creator>
  <cp:lastModifiedBy>Melissa Selesky</cp:lastModifiedBy>
  <cp:revision>7</cp:revision>
  <cp:lastPrinted>2018-01-17T21:05:00Z</cp:lastPrinted>
  <dcterms:created xsi:type="dcterms:W3CDTF">2018-01-17T21:04:00Z</dcterms:created>
  <dcterms:modified xsi:type="dcterms:W3CDTF">2018-02-08T18:15:00Z</dcterms:modified>
</cp:coreProperties>
</file>